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78611">
      <w:pPr>
        <w:spacing w:line="500" w:lineRule="exact"/>
        <w:rPr>
          <w:b/>
          <w:bCs/>
          <w:spacing w:val="20"/>
          <w:szCs w:val="21"/>
        </w:rPr>
      </w:pPr>
      <w:bookmarkStart w:id="0" w:name="_Toc144974478"/>
      <w:bookmarkStart w:id="1" w:name="_Toc152042286"/>
      <w:bookmarkStart w:id="2" w:name="_Hlk485978745"/>
    </w:p>
    <w:p w14:paraId="26A5A42D">
      <w:pPr>
        <w:pStyle w:val="40"/>
      </w:pPr>
    </w:p>
    <w:p w14:paraId="37A506F0">
      <w:pPr>
        <w:jc w:val="center"/>
        <w:rPr>
          <w:b/>
          <w:spacing w:val="20"/>
          <w:sz w:val="52"/>
          <w:szCs w:val="52"/>
        </w:rPr>
      </w:pPr>
      <w:bookmarkStart w:id="3" w:name="_Hlk56019205"/>
      <w:r>
        <w:rPr>
          <w:rFonts w:hint="eastAsia"/>
          <w:b/>
          <w:spacing w:val="20"/>
          <w:sz w:val="52"/>
          <w:szCs w:val="52"/>
        </w:rPr>
        <w:t>宜宾市南溪区中和教育文体发展有限公司</w:t>
      </w:r>
      <w:r>
        <w:rPr>
          <w:b/>
          <w:spacing w:val="20"/>
          <w:sz w:val="52"/>
          <w:szCs w:val="52"/>
        </w:rPr>
        <w:t>数据资产增值服务项目</w:t>
      </w:r>
      <w:bookmarkStart w:id="396" w:name="_GoBack"/>
      <w:bookmarkEnd w:id="396"/>
    </w:p>
    <w:p w14:paraId="7ACB71F1">
      <w:pPr>
        <w:jc w:val="center"/>
        <w:rPr>
          <w:b/>
          <w:spacing w:val="20"/>
          <w:sz w:val="52"/>
          <w:szCs w:val="52"/>
        </w:rPr>
      </w:pPr>
    </w:p>
    <w:bookmarkEnd w:id="3"/>
    <w:p w14:paraId="1ECE8E4D">
      <w:pPr>
        <w:spacing w:after="312" w:afterLines="100"/>
        <w:jc w:val="center"/>
        <w:rPr>
          <w:b/>
          <w:spacing w:val="20"/>
          <w:sz w:val="44"/>
          <w:szCs w:val="44"/>
        </w:rPr>
      </w:pPr>
    </w:p>
    <w:p w14:paraId="64B88145">
      <w:pPr>
        <w:pStyle w:val="40"/>
      </w:pPr>
    </w:p>
    <w:p w14:paraId="08BCEBA0">
      <w:pPr>
        <w:pStyle w:val="40"/>
      </w:pPr>
    </w:p>
    <w:p w14:paraId="7BAE3AC6">
      <w:pPr>
        <w:spacing w:after="312" w:afterLines="100"/>
        <w:jc w:val="center"/>
        <w:rPr>
          <w:b/>
          <w:spacing w:val="20"/>
          <w:sz w:val="72"/>
          <w:szCs w:val="72"/>
        </w:rPr>
      </w:pPr>
      <w:r>
        <w:rPr>
          <w:b/>
          <w:spacing w:val="20"/>
          <w:sz w:val="72"/>
          <w:szCs w:val="72"/>
        </w:rPr>
        <w:t>招标文件</w:t>
      </w:r>
    </w:p>
    <w:p w14:paraId="1D27B2A0">
      <w:pPr>
        <w:rPr>
          <w:b/>
          <w:bCs/>
          <w:snapToGrid w:val="0"/>
          <w:sz w:val="28"/>
          <w:szCs w:val="28"/>
        </w:rPr>
      </w:pPr>
    </w:p>
    <w:p w14:paraId="2E50F2CC">
      <w:pPr>
        <w:rPr>
          <w:b/>
          <w:bCs/>
          <w:snapToGrid w:val="0"/>
          <w:sz w:val="28"/>
          <w:szCs w:val="28"/>
        </w:rPr>
      </w:pPr>
    </w:p>
    <w:p w14:paraId="069B6459">
      <w:pPr>
        <w:spacing w:after="312" w:afterLines="100"/>
        <w:rPr>
          <w:b/>
          <w:spacing w:val="20"/>
          <w:sz w:val="44"/>
          <w:szCs w:val="44"/>
        </w:rPr>
      </w:pPr>
    </w:p>
    <w:p w14:paraId="51E9B67E">
      <w:pPr>
        <w:pStyle w:val="40"/>
      </w:pPr>
    </w:p>
    <w:p w14:paraId="1FDBA0F3">
      <w:pPr>
        <w:pStyle w:val="40"/>
      </w:pPr>
    </w:p>
    <w:p w14:paraId="6CEEDBCB">
      <w:pPr>
        <w:pStyle w:val="40"/>
      </w:pPr>
    </w:p>
    <w:p w14:paraId="3E2F1141">
      <w:pPr>
        <w:pStyle w:val="40"/>
        <w:jc w:val="left"/>
      </w:pPr>
    </w:p>
    <w:p w14:paraId="26FC4515">
      <w:pPr>
        <w:spacing w:line="432" w:lineRule="auto"/>
        <w:rPr>
          <w:sz w:val="32"/>
          <w:szCs w:val="32"/>
          <w:u w:val="single"/>
        </w:rPr>
      </w:pPr>
      <w:r>
        <w:rPr>
          <w:b/>
          <w:bCs/>
          <w:sz w:val="32"/>
          <w:szCs w:val="32"/>
        </w:rPr>
        <w:t>招     标     人：</w:t>
      </w:r>
      <w:r>
        <w:rPr>
          <w:rFonts w:hint="eastAsia"/>
          <w:sz w:val="32"/>
          <w:szCs w:val="32"/>
          <w:u w:val="single"/>
        </w:rPr>
        <w:t>宜宾市南溪区中和教育文体发展有限公司</w:t>
      </w:r>
    </w:p>
    <w:p w14:paraId="1482AD72">
      <w:pPr>
        <w:pStyle w:val="40"/>
      </w:pPr>
    </w:p>
    <w:p w14:paraId="3436F395">
      <w:pPr>
        <w:pStyle w:val="40"/>
      </w:pPr>
    </w:p>
    <w:p w14:paraId="3A4D3567">
      <w:pPr>
        <w:ind w:firstLine="3240" w:firstLineChars="900"/>
        <w:rPr>
          <w:b/>
          <w:spacing w:val="20"/>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74" w:right="1361" w:bottom="1361" w:left="1418" w:header="851" w:footer="851" w:gutter="0"/>
          <w:pgNumType w:fmt="upperRoman" w:start="1"/>
          <w:cols w:space="720" w:num="1"/>
          <w:docGrid w:type="linesAndChars" w:linePitch="312" w:charSpace="0"/>
        </w:sectPr>
      </w:pPr>
      <w:r>
        <w:rPr>
          <w:b/>
          <w:spacing w:val="20"/>
          <w:sz w:val="32"/>
          <w:szCs w:val="32"/>
        </w:rPr>
        <w:t>202</w:t>
      </w:r>
      <w:r>
        <w:rPr>
          <w:rFonts w:hint="eastAsia"/>
          <w:b/>
          <w:spacing w:val="20"/>
          <w:sz w:val="32"/>
          <w:szCs w:val="32"/>
        </w:rPr>
        <w:t>6</w:t>
      </w:r>
      <w:r>
        <w:rPr>
          <w:b/>
          <w:spacing w:val="20"/>
          <w:sz w:val="32"/>
          <w:szCs w:val="32"/>
        </w:rPr>
        <w:t>年</w:t>
      </w:r>
      <w:r>
        <w:rPr>
          <w:rFonts w:hint="eastAsia"/>
          <w:b/>
          <w:spacing w:val="20"/>
          <w:sz w:val="32"/>
          <w:szCs w:val="32"/>
        </w:rPr>
        <w:t>10</w:t>
      </w:r>
      <w:r>
        <w:rPr>
          <w:b/>
          <w:spacing w:val="20"/>
          <w:sz w:val="32"/>
          <w:szCs w:val="32"/>
        </w:rPr>
        <w:t>月</w:t>
      </w:r>
      <w:r>
        <w:rPr>
          <w:rFonts w:hint="eastAsia"/>
          <w:b/>
          <w:spacing w:val="20"/>
          <w:sz w:val="32"/>
          <w:szCs w:val="32"/>
        </w:rPr>
        <w:t xml:space="preserve"> </w:t>
      </w:r>
      <w:r>
        <w:rPr>
          <w:b/>
          <w:spacing w:val="20"/>
          <w:sz w:val="32"/>
          <w:szCs w:val="32"/>
        </w:rPr>
        <w:t xml:space="preserve">  </w:t>
      </w:r>
    </w:p>
    <w:bookmarkEnd w:id="0"/>
    <w:bookmarkEnd w:id="1"/>
    <w:p w14:paraId="18295BC2">
      <w:pPr>
        <w:pStyle w:val="24"/>
        <w:tabs>
          <w:tab w:val="right" w:leader="dot" w:pos="9062"/>
        </w:tabs>
        <w:ind w:firstLine="0" w:firstLineChars="0"/>
        <w:jc w:val="center"/>
        <w:rPr>
          <w:bCs w:val="0"/>
          <w:caps w:val="0"/>
          <w:sz w:val="36"/>
          <w:szCs w:val="36"/>
        </w:rPr>
      </w:pPr>
      <w:bookmarkStart w:id="4" w:name="_Toc152042287"/>
      <w:bookmarkStart w:id="5" w:name="_Toc179632527"/>
      <w:bookmarkStart w:id="6" w:name="_Toc152045511"/>
      <w:bookmarkStart w:id="7" w:name="_Toc144974479"/>
      <w:r>
        <w:rPr>
          <w:bCs w:val="0"/>
          <w:caps w:val="0"/>
          <w:sz w:val="36"/>
          <w:szCs w:val="36"/>
        </w:rPr>
        <w:t>目</w:t>
      </w:r>
      <w:r>
        <w:rPr>
          <w:rFonts w:hint="eastAsia"/>
          <w:bCs w:val="0"/>
          <w:caps w:val="0"/>
          <w:sz w:val="36"/>
          <w:szCs w:val="36"/>
        </w:rPr>
        <w:t xml:space="preserve">  </w:t>
      </w:r>
      <w:r>
        <w:rPr>
          <w:bCs w:val="0"/>
          <w:caps w:val="0"/>
          <w:sz w:val="36"/>
          <w:szCs w:val="36"/>
        </w:rPr>
        <w:t>录</w:t>
      </w:r>
    </w:p>
    <w:p w14:paraId="1D9B9170">
      <w:pPr>
        <w:tabs>
          <w:tab w:val="right" w:leader="dot" w:pos="8630"/>
        </w:tabs>
        <w:ind w:firstLine="600"/>
        <w:rPr>
          <w:sz w:val="30"/>
          <w:szCs w:val="30"/>
        </w:rPr>
      </w:pPr>
    </w:p>
    <w:p w14:paraId="6E390767">
      <w:pPr>
        <w:tabs>
          <w:tab w:val="right" w:leader="dot" w:pos="8630"/>
        </w:tabs>
        <w:ind w:firstLine="420"/>
        <w:rPr>
          <w:sz w:val="30"/>
          <w:szCs w:val="30"/>
        </w:rPr>
      </w:pPr>
      <w:r>
        <w:fldChar w:fldCharType="begin"/>
      </w:r>
      <w:r>
        <w:instrText xml:space="preserve"> HYPERLINK \l "_Toc520666297" </w:instrText>
      </w:r>
      <w:r>
        <w:fldChar w:fldCharType="separate"/>
      </w:r>
      <w:r>
        <w:rPr>
          <w:rFonts w:hint="eastAsia"/>
          <w:sz w:val="30"/>
          <w:szCs w:val="30"/>
        </w:rPr>
        <w:t>第一章招标公告</w:t>
      </w:r>
      <w:r>
        <w:rPr>
          <w:rFonts w:hint="eastAsia"/>
          <w:sz w:val="30"/>
          <w:szCs w:val="30"/>
        </w:rPr>
        <w:tab/>
      </w:r>
      <w:r>
        <w:rPr>
          <w:rFonts w:hint="eastAsia"/>
          <w:sz w:val="30"/>
          <w:szCs w:val="30"/>
        </w:rPr>
        <w:t>1</w:t>
      </w:r>
      <w:r>
        <w:rPr>
          <w:rFonts w:hint="eastAsia"/>
          <w:sz w:val="30"/>
          <w:szCs w:val="30"/>
        </w:rPr>
        <w:fldChar w:fldCharType="end"/>
      </w:r>
    </w:p>
    <w:p w14:paraId="5F265915">
      <w:pPr>
        <w:tabs>
          <w:tab w:val="right" w:leader="dot" w:pos="8630"/>
        </w:tabs>
        <w:ind w:firstLine="420"/>
        <w:rPr>
          <w:sz w:val="30"/>
          <w:szCs w:val="30"/>
        </w:rPr>
      </w:pPr>
      <w:r>
        <w:fldChar w:fldCharType="begin"/>
      </w:r>
      <w:r>
        <w:instrText xml:space="preserve"> HYPERLINK \l "_Toc520666308" </w:instrText>
      </w:r>
      <w:r>
        <w:fldChar w:fldCharType="separate"/>
      </w:r>
      <w:r>
        <w:rPr>
          <w:rFonts w:hint="eastAsia"/>
          <w:sz w:val="30"/>
          <w:szCs w:val="30"/>
        </w:rPr>
        <w:t>第二章投标人须知</w:t>
      </w:r>
      <w:r>
        <w:rPr>
          <w:rFonts w:hint="eastAsia"/>
          <w:sz w:val="30"/>
          <w:szCs w:val="30"/>
        </w:rPr>
        <w:tab/>
      </w:r>
      <w:r>
        <w:rPr>
          <w:rFonts w:hint="eastAsia"/>
          <w:sz w:val="30"/>
          <w:szCs w:val="30"/>
        </w:rPr>
        <w:t xml:space="preserve">5 </w:t>
      </w:r>
      <w:r>
        <w:rPr>
          <w:rFonts w:hint="eastAsia"/>
          <w:sz w:val="30"/>
          <w:szCs w:val="30"/>
        </w:rPr>
        <w:fldChar w:fldCharType="end"/>
      </w:r>
    </w:p>
    <w:p w14:paraId="25D17A36">
      <w:pPr>
        <w:tabs>
          <w:tab w:val="right" w:leader="dot" w:pos="8630"/>
        </w:tabs>
        <w:ind w:firstLine="420"/>
        <w:rPr>
          <w:sz w:val="30"/>
          <w:szCs w:val="30"/>
        </w:rPr>
      </w:pPr>
      <w:r>
        <w:fldChar w:fldCharType="begin"/>
      </w:r>
      <w:r>
        <w:instrText xml:space="preserve"> HYPERLINK \l "_Toc520666361" </w:instrText>
      </w:r>
      <w:r>
        <w:fldChar w:fldCharType="separate"/>
      </w:r>
      <w:r>
        <w:rPr>
          <w:rFonts w:hint="eastAsia"/>
          <w:sz w:val="30"/>
          <w:szCs w:val="30"/>
        </w:rPr>
        <w:t>第三章评标办法</w:t>
      </w:r>
      <w:r>
        <w:rPr>
          <w:rFonts w:hint="eastAsia"/>
          <w:sz w:val="30"/>
          <w:szCs w:val="30"/>
        </w:rPr>
        <w:tab/>
      </w:r>
      <w:r>
        <w:rPr>
          <w:rFonts w:hint="eastAsia"/>
          <w:sz w:val="30"/>
          <w:szCs w:val="30"/>
        </w:rPr>
        <w:t>13</w:t>
      </w:r>
      <w:r>
        <w:rPr>
          <w:rFonts w:hint="eastAsia"/>
          <w:sz w:val="30"/>
          <w:szCs w:val="30"/>
        </w:rPr>
        <w:fldChar w:fldCharType="end"/>
      </w:r>
    </w:p>
    <w:p w14:paraId="477BCCCC">
      <w:pPr>
        <w:tabs>
          <w:tab w:val="right" w:leader="dot" w:pos="8630"/>
        </w:tabs>
        <w:ind w:firstLine="420"/>
        <w:rPr>
          <w:sz w:val="30"/>
          <w:szCs w:val="30"/>
        </w:rPr>
      </w:pPr>
      <w:r>
        <w:fldChar w:fldCharType="begin"/>
      </w:r>
      <w:r>
        <w:instrText xml:space="preserve"> HYPERLINK \l "_Toc520666374" </w:instrText>
      </w:r>
      <w:r>
        <w:fldChar w:fldCharType="separate"/>
      </w:r>
      <w:r>
        <w:rPr>
          <w:rFonts w:hint="eastAsia"/>
          <w:sz w:val="30"/>
          <w:szCs w:val="30"/>
        </w:rPr>
        <w:t>第四章合同条款及格式</w:t>
      </w:r>
      <w:r>
        <w:rPr>
          <w:rFonts w:hint="eastAsia"/>
          <w:sz w:val="30"/>
          <w:szCs w:val="30"/>
        </w:rPr>
        <w:tab/>
      </w:r>
      <w:r>
        <w:rPr>
          <w:rFonts w:hint="eastAsia"/>
          <w:sz w:val="30"/>
          <w:szCs w:val="30"/>
        </w:rPr>
        <w:t>1</w:t>
      </w:r>
      <w:r>
        <w:rPr>
          <w:rFonts w:hint="eastAsia"/>
          <w:sz w:val="30"/>
          <w:szCs w:val="30"/>
        </w:rPr>
        <w:fldChar w:fldCharType="end"/>
      </w:r>
      <w:r>
        <w:rPr>
          <w:rFonts w:hint="eastAsia"/>
          <w:sz w:val="30"/>
          <w:szCs w:val="30"/>
        </w:rPr>
        <w:t>4</w:t>
      </w:r>
    </w:p>
    <w:p w14:paraId="4B49E8C8">
      <w:pPr>
        <w:tabs>
          <w:tab w:val="right" w:leader="dot" w:pos="8630"/>
        </w:tabs>
        <w:ind w:firstLine="420"/>
        <w:rPr>
          <w:sz w:val="30"/>
          <w:szCs w:val="30"/>
        </w:rPr>
      </w:pPr>
      <w:r>
        <w:fldChar w:fldCharType="begin"/>
      </w:r>
      <w:r>
        <w:instrText xml:space="preserve"> HYPERLINK \l "_Toc520666396" </w:instrText>
      </w:r>
      <w:r>
        <w:fldChar w:fldCharType="separate"/>
      </w:r>
      <w:r>
        <w:rPr>
          <w:rFonts w:hint="eastAsia"/>
          <w:sz w:val="30"/>
          <w:szCs w:val="30"/>
        </w:rPr>
        <w:t>第五章项目需求</w:t>
      </w:r>
      <w:r>
        <w:rPr>
          <w:rFonts w:hint="eastAsia"/>
          <w:sz w:val="30"/>
          <w:szCs w:val="30"/>
        </w:rPr>
        <w:tab/>
      </w:r>
      <w:r>
        <w:rPr>
          <w:rFonts w:hint="eastAsia"/>
          <w:sz w:val="30"/>
          <w:szCs w:val="30"/>
        </w:rPr>
        <w:t>21</w:t>
      </w:r>
      <w:r>
        <w:rPr>
          <w:rFonts w:hint="eastAsia"/>
          <w:sz w:val="30"/>
          <w:szCs w:val="30"/>
        </w:rPr>
        <w:fldChar w:fldCharType="end"/>
      </w:r>
    </w:p>
    <w:p w14:paraId="5C053935">
      <w:pPr>
        <w:tabs>
          <w:tab w:val="right" w:leader="dot" w:pos="8630"/>
        </w:tabs>
        <w:ind w:firstLine="420"/>
        <w:rPr>
          <w:sz w:val="30"/>
          <w:szCs w:val="30"/>
        </w:rPr>
      </w:pPr>
      <w:r>
        <w:fldChar w:fldCharType="begin"/>
      </w:r>
      <w:r>
        <w:instrText xml:space="preserve"> HYPERLINK \l "_Toc520666297" </w:instrText>
      </w:r>
      <w:r>
        <w:fldChar w:fldCharType="separate"/>
      </w:r>
      <w:r>
        <w:rPr>
          <w:rFonts w:hint="eastAsia"/>
          <w:sz w:val="30"/>
          <w:szCs w:val="30"/>
        </w:rPr>
        <w:t>第六章投标文件格式</w:t>
      </w:r>
      <w:r>
        <w:rPr>
          <w:rFonts w:hint="eastAsia"/>
          <w:sz w:val="30"/>
          <w:szCs w:val="30"/>
        </w:rPr>
        <w:tab/>
      </w:r>
      <w:r>
        <w:rPr>
          <w:rFonts w:hint="eastAsia"/>
          <w:sz w:val="30"/>
          <w:szCs w:val="30"/>
        </w:rPr>
        <w:t>2</w:t>
      </w:r>
      <w:r>
        <w:rPr>
          <w:rFonts w:hint="eastAsia"/>
          <w:sz w:val="30"/>
          <w:szCs w:val="30"/>
        </w:rPr>
        <w:fldChar w:fldCharType="end"/>
      </w:r>
      <w:r>
        <w:rPr>
          <w:rFonts w:hint="eastAsia"/>
          <w:sz w:val="30"/>
          <w:szCs w:val="30"/>
        </w:rPr>
        <w:t>4</w:t>
      </w:r>
    </w:p>
    <w:bookmarkEnd w:id="4"/>
    <w:bookmarkEnd w:id="5"/>
    <w:bookmarkEnd w:id="6"/>
    <w:bookmarkEnd w:id="7"/>
    <w:p w14:paraId="2EDE8FB5">
      <w:pPr>
        <w:pStyle w:val="2"/>
        <w:pageBreakBefore/>
        <w:ind w:firstLine="0" w:firstLineChars="0"/>
        <w:jc w:val="center"/>
        <w:rPr>
          <w:sz w:val="44"/>
          <w:highlight w:val="none"/>
        </w:rPr>
      </w:pPr>
      <w:bookmarkStart w:id="8" w:name="_Toc68108349"/>
      <w:bookmarkStart w:id="9" w:name="_Toc12734"/>
      <w:r>
        <w:rPr>
          <w:sz w:val="44"/>
          <w:highlight w:val="none"/>
        </w:rPr>
        <w:t>第一章  招标公告</w:t>
      </w:r>
      <w:bookmarkEnd w:id="8"/>
      <w:bookmarkEnd w:id="9"/>
    </w:p>
    <w:p w14:paraId="28262D1C">
      <w:pPr>
        <w:pStyle w:val="4"/>
        <w:wordWrap/>
        <w:rPr>
          <w:highlight w:val="none"/>
        </w:rPr>
      </w:pPr>
      <w:bookmarkStart w:id="10" w:name="_Toc246996901"/>
      <w:bookmarkStart w:id="11" w:name="_Toc247085672"/>
      <w:bookmarkStart w:id="12" w:name="_Toc144974480"/>
      <w:bookmarkStart w:id="13" w:name="_Toc31809"/>
      <w:bookmarkStart w:id="14" w:name="_Toc511387370"/>
      <w:bookmarkStart w:id="15" w:name="_Toc179632528"/>
      <w:bookmarkStart w:id="16" w:name="_Toc246996158"/>
      <w:bookmarkStart w:id="17" w:name="_Toc152045512"/>
      <w:bookmarkStart w:id="18" w:name="_Toc496096187"/>
      <w:bookmarkStart w:id="19" w:name="_Toc152042288"/>
      <w:bookmarkStart w:id="20" w:name="_Toc68108350"/>
      <w:r>
        <w:rPr>
          <w:highlight w:val="none"/>
        </w:rPr>
        <w:t>一、招标条件</w:t>
      </w:r>
      <w:bookmarkEnd w:id="10"/>
      <w:bookmarkEnd w:id="11"/>
      <w:bookmarkEnd w:id="12"/>
      <w:bookmarkEnd w:id="13"/>
      <w:bookmarkEnd w:id="14"/>
      <w:bookmarkEnd w:id="15"/>
      <w:bookmarkEnd w:id="16"/>
      <w:bookmarkEnd w:id="17"/>
      <w:bookmarkEnd w:id="18"/>
      <w:bookmarkEnd w:id="19"/>
      <w:bookmarkEnd w:id="20"/>
    </w:p>
    <w:p w14:paraId="71FC4C77">
      <w:pPr>
        <w:ind w:firstLine="480"/>
        <w:rPr>
          <w:rFonts w:eastAsiaTheme="minorEastAsia"/>
          <w:highlight w:val="none"/>
          <w:u w:val="single"/>
        </w:rPr>
      </w:pPr>
      <w:r>
        <w:rPr>
          <w:rFonts w:eastAsiaTheme="minorEastAsia"/>
          <w:highlight w:val="none"/>
        </w:rPr>
        <w:t>本招标项目</w:t>
      </w:r>
      <w:r>
        <w:rPr>
          <w:rFonts w:hint="eastAsia" w:eastAsiaTheme="minorEastAsia"/>
          <w:highlight w:val="none"/>
          <w:u w:val="single"/>
        </w:rPr>
        <w:t>宜宾市南溪区中和教育文体发展有限公司</w:t>
      </w:r>
      <w:r>
        <w:rPr>
          <w:rFonts w:eastAsiaTheme="minorEastAsia"/>
          <w:highlight w:val="none"/>
          <w:u w:val="single"/>
        </w:rPr>
        <w:t>数据资产增值服务项目</w:t>
      </w:r>
      <w:r>
        <w:rPr>
          <w:rFonts w:eastAsiaTheme="minorEastAsia"/>
          <w:highlight w:val="none"/>
        </w:rPr>
        <w:t>已获批准，招标人为</w:t>
      </w:r>
      <w:bookmarkStart w:id="21" w:name="_Hlk169514754"/>
      <w:r>
        <w:rPr>
          <w:rFonts w:hint="eastAsia" w:eastAsiaTheme="minorEastAsia"/>
          <w:highlight w:val="none"/>
          <w:u w:val="single"/>
        </w:rPr>
        <w:t>宜宾市南溪区中和教育文体发展有限公司</w:t>
      </w:r>
      <w:bookmarkEnd w:id="21"/>
      <w:r>
        <w:rPr>
          <w:rFonts w:eastAsiaTheme="minorEastAsia"/>
          <w:highlight w:val="none"/>
        </w:rPr>
        <w:t>，</w:t>
      </w:r>
      <w:r>
        <w:rPr>
          <w:highlight w:val="none"/>
          <w:shd w:val="clear" w:color="auto" w:fill="FFFFFF"/>
        </w:rPr>
        <w:t>项目资金来自自筹且已落实，出资比例为100%。</w:t>
      </w:r>
      <w:r>
        <w:rPr>
          <w:rFonts w:eastAsiaTheme="minorEastAsia"/>
          <w:highlight w:val="none"/>
        </w:rPr>
        <w:t>项目已具备招标条件，现对该项目进行公开招标，邀请符合条件的投标人参加投标。本次招标对投标人的资格审查，采用资格后审方法选择合格的投标人。</w:t>
      </w:r>
    </w:p>
    <w:p w14:paraId="7C6C841A">
      <w:pPr>
        <w:pStyle w:val="4"/>
        <w:wordWrap/>
        <w:rPr>
          <w:highlight w:val="none"/>
        </w:rPr>
      </w:pPr>
      <w:bookmarkStart w:id="22" w:name="_Toc511387371"/>
      <w:bookmarkStart w:id="23" w:name="_Toc179632529"/>
      <w:bookmarkStart w:id="24" w:name="_Toc68108351"/>
      <w:bookmarkStart w:id="25" w:name="_Toc496096188"/>
      <w:bookmarkStart w:id="26" w:name="_Toc246996902"/>
      <w:bookmarkStart w:id="27" w:name="_Toc152042289"/>
      <w:bookmarkStart w:id="28" w:name="_Toc144974481"/>
      <w:bookmarkStart w:id="29" w:name="_Toc1108"/>
      <w:bookmarkStart w:id="30" w:name="_Toc247085673"/>
      <w:bookmarkStart w:id="31" w:name="_Toc152045513"/>
      <w:bookmarkStart w:id="32" w:name="_Toc246996159"/>
      <w:r>
        <w:rPr>
          <w:highlight w:val="none"/>
        </w:rPr>
        <w:t>二、项目概况与招标范围</w:t>
      </w:r>
      <w:bookmarkEnd w:id="22"/>
      <w:bookmarkEnd w:id="23"/>
      <w:bookmarkEnd w:id="24"/>
      <w:bookmarkEnd w:id="25"/>
      <w:bookmarkEnd w:id="26"/>
      <w:bookmarkEnd w:id="27"/>
      <w:bookmarkEnd w:id="28"/>
      <w:bookmarkEnd w:id="29"/>
      <w:bookmarkEnd w:id="30"/>
      <w:bookmarkEnd w:id="31"/>
      <w:bookmarkEnd w:id="32"/>
    </w:p>
    <w:p w14:paraId="2D47DF53">
      <w:pPr>
        <w:ind w:firstLine="480"/>
        <w:rPr>
          <w:highlight w:val="none"/>
        </w:rPr>
      </w:pPr>
      <w:bookmarkStart w:id="33" w:name="_Hlk109329162"/>
      <w:r>
        <w:rPr>
          <w:rFonts w:eastAsiaTheme="minorEastAsia"/>
          <w:highlight w:val="none"/>
        </w:rPr>
        <w:t>1、项目名称：</w:t>
      </w:r>
      <w:r>
        <w:rPr>
          <w:rFonts w:hint="eastAsia"/>
          <w:highlight w:val="none"/>
        </w:rPr>
        <w:t>宜宾市南溪区中和教育文体发展有限公司数据资产增值服务</w:t>
      </w:r>
    </w:p>
    <w:p w14:paraId="20CCF76A">
      <w:pPr>
        <w:ind w:firstLine="480"/>
        <w:rPr>
          <w:highlight w:val="none"/>
        </w:rPr>
      </w:pPr>
      <w:r>
        <w:rPr>
          <w:rFonts w:hint="eastAsia" w:eastAsiaTheme="minorEastAsia"/>
          <w:bCs/>
          <w:highlight w:val="none"/>
          <w:shd w:val="clear" w:color="auto" w:fill="FFFFFF"/>
        </w:rPr>
        <w:t>2</w:t>
      </w:r>
      <w:r>
        <w:rPr>
          <w:rFonts w:eastAsiaTheme="minorEastAsia"/>
          <w:bCs/>
          <w:highlight w:val="none"/>
          <w:shd w:val="clear" w:color="auto" w:fill="FFFFFF"/>
        </w:rPr>
        <w:t>、项目规模：</w:t>
      </w:r>
      <w:r>
        <w:rPr>
          <w:rFonts w:hint="eastAsia"/>
          <w:highlight w:val="none"/>
        </w:rPr>
        <w:t>覆盖宜宾市南溪区中和教育文体发展有限公司的数据资源顶层设计；开发设计并通过不少于3项数据产品的确权登记和价值评估并入表。项目总服务费不超过70万元。</w:t>
      </w:r>
    </w:p>
    <w:p w14:paraId="6C7ACE4F">
      <w:pPr>
        <w:numPr>
          <w:ilvl w:val="0"/>
          <w:numId w:val="1"/>
        </w:numPr>
        <w:ind w:firstLine="480"/>
        <w:rPr>
          <w:highlight w:val="none"/>
        </w:rPr>
      </w:pPr>
      <w:r>
        <w:rPr>
          <w:rFonts w:eastAsiaTheme="minorEastAsia"/>
          <w:highlight w:val="none"/>
        </w:rPr>
        <w:t>服务期限：</w:t>
      </w:r>
      <w:r>
        <w:rPr>
          <w:rFonts w:hint="eastAsia"/>
          <w:highlight w:val="none"/>
        </w:rPr>
        <w:t>总服务期2个月</w:t>
      </w:r>
      <w:r>
        <w:rPr>
          <w:rFonts w:hint="eastAsia" w:eastAsiaTheme="minorEastAsia"/>
          <w:highlight w:val="none"/>
        </w:rPr>
        <w:t>。计划开始日期：2026年11月，具体</w:t>
      </w:r>
      <w:r>
        <w:rPr>
          <w:rFonts w:hint="eastAsia"/>
          <w:highlight w:val="none"/>
        </w:rPr>
        <w:t>以合同约定时间为准。</w:t>
      </w:r>
    </w:p>
    <w:p w14:paraId="4431ACD6">
      <w:pPr>
        <w:ind w:firstLine="480"/>
        <w:rPr>
          <w:rFonts w:eastAsia="仿宋_GB2312"/>
          <w:sz w:val="32"/>
          <w:szCs w:val="32"/>
          <w:highlight w:val="none"/>
        </w:rPr>
      </w:pPr>
      <w:r>
        <w:rPr>
          <w:rFonts w:hint="eastAsia" w:eastAsiaTheme="minorEastAsia"/>
          <w:highlight w:val="none"/>
        </w:rPr>
        <w:t>4</w:t>
      </w:r>
      <w:r>
        <w:rPr>
          <w:rFonts w:eastAsiaTheme="minorEastAsia"/>
          <w:highlight w:val="none"/>
        </w:rPr>
        <w:t>、质量要求：</w:t>
      </w:r>
      <w:r>
        <w:rPr>
          <w:rFonts w:hint="eastAsia"/>
          <w:highlight w:val="none"/>
        </w:rPr>
        <w:t>符合国家相关规定和招标人要求，完成数据资源的顶层设计，开发设计并通过不少于3项数据产品的确权登记和价值评估并入表（以数据产品挂牌证书颁发和价值评估咨询报告交付为准）。</w:t>
      </w:r>
    </w:p>
    <w:p w14:paraId="063DA18D">
      <w:pPr>
        <w:ind w:firstLine="480"/>
        <w:rPr>
          <w:highlight w:val="none"/>
        </w:rPr>
      </w:pPr>
      <w:r>
        <w:rPr>
          <w:rFonts w:hint="eastAsia" w:eastAsiaTheme="minorEastAsia"/>
          <w:highlight w:val="none"/>
        </w:rPr>
        <w:t>5</w:t>
      </w:r>
      <w:r>
        <w:rPr>
          <w:rFonts w:eastAsiaTheme="minorEastAsia"/>
          <w:highlight w:val="none"/>
        </w:rPr>
        <w:t>、招标范围：</w:t>
      </w:r>
      <w:r>
        <w:rPr>
          <w:rFonts w:hint="eastAsia"/>
          <w:highlight w:val="none"/>
        </w:rPr>
        <w:t>宜宾市南溪区中和教育文体发展有限公司数据资产增值的顶层设计和实施服务，主要包括数据资产增值顶层设计、数据价值盘点、数据全流程跑通试点、数据产品开发、数据产品流通服务确权和评估登记等工作。</w:t>
      </w:r>
    </w:p>
    <w:p w14:paraId="789EF83F">
      <w:pPr>
        <w:ind w:firstLine="480"/>
        <w:rPr>
          <w:rFonts w:eastAsiaTheme="minorEastAsia"/>
          <w:b/>
          <w:bCs/>
          <w:highlight w:val="none"/>
        </w:rPr>
      </w:pPr>
      <w:r>
        <w:rPr>
          <w:rFonts w:hint="eastAsia"/>
          <w:highlight w:val="none"/>
        </w:rPr>
        <w:t>6、标段划分：本次招标共一个标段。</w:t>
      </w:r>
    </w:p>
    <w:bookmarkEnd w:id="33"/>
    <w:p w14:paraId="27556E03">
      <w:pPr>
        <w:pStyle w:val="4"/>
        <w:wordWrap/>
        <w:rPr>
          <w:highlight w:val="none"/>
        </w:rPr>
      </w:pPr>
      <w:bookmarkStart w:id="34" w:name="_Toc179632530"/>
      <w:bookmarkStart w:id="35" w:name="_Toc496096189"/>
      <w:bookmarkStart w:id="36" w:name="_Toc511387372"/>
      <w:bookmarkStart w:id="37" w:name="_Toc68108352"/>
      <w:bookmarkStart w:id="38" w:name="_Toc246996160"/>
      <w:bookmarkStart w:id="39" w:name="_Toc144974482"/>
      <w:bookmarkStart w:id="40" w:name="_Toc247085674"/>
      <w:bookmarkStart w:id="41" w:name="_Toc152042290"/>
      <w:bookmarkStart w:id="42" w:name="_Toc246996903"/>
      <w:bookmarkStart w:id="43" w:name="_Toc152045514"/>
      <w:bookmarkStart w:id="44" w:name="_Toc32374"/>
      <w:bookmarkStart w:id="45" w:name="_Hlk160721436"/>
      <w:r>
        <w:rPr>
          <w:highlight w:val="none"/>
        </w:rPr>
        <w:t>三、</w:t>
      </w:r>
      <w:bookmarkStart w:id="46" w:name="_Hlk67405809"/>
      <w:r>
        <w:rPr>
          <w:highlight w:val="none"/>
        </w:rPr>
        <w:t>投标人资格要求</w:t>
      </w:r>
      <w:bookmarkEnd w:id="34"/>
      <w:bookmarkEnd w:id="35"/>
      <w:bookmarkEnd w:id="36"/>
      <w:bookmarkEnd w:id="37"/>
      <w:bookmarkEnd w:id="38"/>
      <w:bookmarkEnd w:id="39"/>
      <w:bookmarkEnd w:id="40"/>
      <w:bookmarkEnd w:id="41"/>
      <w:bookmarkEnd w:id="42"/>
      <w:bookmarkEnd w:id="43"/>
      <w:bookmarkEnd w:id="44"/>
      <w:bookmarkEnd w:id="46"/>
    </w:p>
    <w:p w14:paraId="5AE95EC7">
      <w:pPr>
        <w:pStyle w:val="29"/>
        <w:spacing w:before="0" w:beforeAutospacing="0" w:after="0" w:afterAutospacing="0" w:line="560" w:lineRule="atLeast"/>
        <w:ind w:firstLine="480" w:firstLineChars="200"/>
        <w:rPr>
          <w:rFonts w:eastAsiaTheme="minorEastAsia"/>
          <w:highlight w:val="none"/>
        </w:rPr>
      </w:pPr>
      <w:bookmarkStart w:id="47" w:name="_Toc144974397"/>
      <w:bookmarkStart w:id="48" w:name="_Toc152042291"/>
      <w:bookmarkStart w:id="49" w:name="_Toc144974483"/>
      <w:bookmarkStart w:id="50" w:name="_Toc247085675"/>
      <w:bookmarkStart w:id="51" w:name="_Toc152045515"/>
      <w:bookmarkStart w:id="52" w:name="_Toc246996904"/>
      <w:bookmarkStart w:id="53" w:name="_Toc179632531"/>
      <w:bookmarkStart w:id="54" w:name="_Toc246996161"/>
      <w:r>
        <w:rPr>
          <w:rFonts w:eastAsiaTheme="minorEastAsia"/>
          <w:highlight w:val="none"/>
        </w:rPr>
        <w:t>1、投标人资格要求：中国境内注册具备承担本招标项目能力的独立法人</w:t>
      </w:r>
      <w:r>
        <w:rPr>
          <w:rFonts w:hint="eastAsia" w:eastAsiaTheme="minorEastAsia"/>
          <w:highlight w:val="none"/>
        </w:rPr>
        <w:t>（提供营业执照）；投标人需具备数据产品开发、数据质量评估等相关资质</w:t>
      </w:r>
      <w:r>
        <w:rPr>
          <w:rFonts w:eastAsiaTheme="minorEastAsia"/>
          <w:highlight w:val="none"/>
        </w:rPr>
        <w:t>。</w:t>
      </w:r>
      <w:bookmarkEnd w:id="47"/>
    </w:p>
    <w:p w14:paraId="531799C9">
      <w:pPr>
        <w:pStyle w:val="29"/>
        <w:spacing w:before="0" w:beforeAutospacing="0" w:after="0" w:afterAutospacing="0" w:line="560" w:lineRule="atLeast"/>
        <w:ind w:firstLine="480" w:firstLineChars="200"/>
        <w:rPr>
          <w:highlight w:val="none"/>
        </w:rPr>
      </w:pPr>
      <w:r>
        <w:rPr>
          <w:rFonts w:hint="eastAsia" w:eastAsiaTheme="minorEastAsia"/>
          <w:highlight w:val="none"/>
        </w:rPr>
        <w:t>2、</w:t>
      </w:r>
      <w:r>
        <w:rPr>
          <w:rFonts w:eastAsiaTheme="minorEastAsia"/>
          <w:highlight w:val="none"/>
        </w:rPr>
        <w:t>财务要求：</w:t>
      </w:r>
      <w:r>
        <w:rPr>
          <w:highlight w:val="none"/>
        </w:rPr>
        <w:t>投标人应具有独立订立合同的能力，未处于财产被接管、冻结和破产状态。</w:t>
      </w:r>
      <w:r>
        <w:rPr>
          <w:rFonts w:hint="eastAsia"/>
          <w:color w:val="FF0000"/>
          <w:highlight w:val="none"/>
        </w:rPr>
        <w:t>（在投标函中承诺即可，无需提供其他资料）</w:t>
      </w:r>
    </w:p>
    <w:p w14:paraId="12D7F74F">
      <w:pPr>
        <w:ind w:firstLine="480"/>
        <w:rPr>
          <w:rFonts w:eastAsiaTheme="minorEastAsia"/>
          <w:highlight w:val="none"/>
        </w:rPr>
      </w:pPr>
      <w:r>
        <w:rPr>
          <w:rFonts w:hint="eastAsia" w:eastAsiaTheme="minorEastAsia"/>
          <w:highlight w:val="none"/>
        </w:rPr>
        <w:t>3</w:t>
      </w:r>
      <w:r>
        <w:rPr>
          <w:rFonts w:eastAsiaTheme="minorEastAsia"/>
          <w:highlight w:val="none"/>
        </w:rPr>
        <w:t>、信誉要求：投标人不得存在下列情形：</w:t>
      </w:r>
      <w:r>
        <w:rPr>
          <w:rFonts w:hint="eastAsia"/>
          <w:color w:val="FF0000"/>
          <w:highlight w:val="none"/>
        </w:rPr>
        <w:t>（在投标函中承诺即可，无需提供其他资料）</w:t>
      </w:r>
    </w:p>
    <w:p w14:paraId="06EEDFD4">
      <w:pPr>
        <w:ind w:firstLine="480"/>
        <w:rPr>
          <w:rFonts w:eastAsiaTheme="minorEastAsia"/>
          <w:highlight w:val="none"/>
        </w:rPr>
      </w:pPr>
      <w:bookmarkStart w:id="55" w:name="_Hlk131516472"/>
      <w:r>
        <w:rPr>
          <w:rFonts w:eastAsiaTheme="minorEastAsia"/>
          <w:highlight w:val="none"/>
        </w:rPr>
        <w:t>（1）被国家、</w:t>
      </w:r>
      <w:r>
        <w:rPr>
          <w:rFonts w:hint="eastAsia" w:eastAsiaTheme="minorEastAsia"/>
          <w:highlight w:val="none"/>
        </w:rPr>
        <w:t>四川</w:t>
      </w:r>
      <w:r>
        <w:rPr>
          <w:rFonts w:eastAsiaTheme="minorEastAsia"/>
          <w:highlight w:val="none"/>
        </w:rPr>
        <w:t>省省级有关部门及</w:t>
      </w:r>
      <w:r>
        <w:rPr>
          <w:rFonts w:hint="eastAsia" w:eastAsiaTheme="minorEastAsia"/>
          <w:highlight w:val="none"/>
        </w:rPr>
        <w:t>宜宾</w:t>
      </w:r>
      <w:r>
        <w:rPr>
          <w:rFonts w:eastAsiaTheme="minorEastAsia"/>
          <w:highlight w:val="none"/>
        </w:rPr>
        <w:t>本市市级暂停招投标或市场准入资格且在公示处罚期内的。</w:t>
      </w:r>
      <w:r>
        <w:rPr>
          <w:rFonts w:hint="eastAsia" w:eastAsiaTheme="minorEastAsia"/>
          <w:highlight w:val="none"/>
        </w:rPr>
        <w:t>禁止参与本次招投标/采购活动企业名单：</w:t>
      </w:r>
      <w:r>
        <w:rPr>
          <w:rFonts w:hint="eastAsia" w:eastAsiaTheme="minorEastAsia"/>
          <w:color w:val="FF0000"/>
          <w:highlight w:val="none"/>
        </w:rPr>
        <w:t>（供参考）</w:t>
      </w:r>
    </w:p>
    <w:p w14:paraId="5A7055D4">
      <w:pPr>
        <w:ind w:firstLine="480"/>
        <w:rPr>
          <w:rFonts w:eastAsiaTheme="minorEastAsia"/>
          <w:highlight w:val="none"/>
        </w:rPr>
      </w:pPr>
      <w:r>
        <w:rPr>
          <w:rFonts w:eastAsiaTheme="minorEastAsia"/>
          <w:highlight w:val="none"/>
        </w:rPr>
        <w:t>（2）投标人及其法定代表人、拟派项目负责人自投标截止日前 3 年内无行贿犯罪行为记录；法定代表人、项目负责人有行贿犯罪记录且自记录之日起未超过 5 年的，视为不符合本条要求。</w:t>
      </w:r>
    </w:p>
    <w:p w14:paraId="0F61FD31">
      <w:pPr>
        <w:ind w:firstLine="480"/>
        <w:rPr>
          <w:rFonts w:eastAsiaTheme="minorEastAsia"/>
          <w:highlight w:val="none"/>
        </w:rPr>
      </w:pPr>
      <w:r>
        <w:rPr>
          <w:rFonts w:eastAsiaTheme="minorEastAsia"/>
          <w:highlight w:val="none"/>
        </w:rPr>
        <w:t>（3）被人民法院列为失信被执行人的信息正在被“信用中国”、“信用</w:t>
      </w:r>
      <w:r>
        <w:rPr>
          <w:rFonts w:hint="eastAsia" w:eastAsiaTheme="minorEastAsia"/>
          <w:highlight w:val="none"/>
        </w:rPr>
        <w:t>四川</w:t>
      </w:r>
      <w:r>
        <w:rPr>
          <w:rFonts w:eastAsiaTheme="minorEastAsia"/>
          <w:highlight w:val="none"/>
        </w:rPr>
        <w:t xml:space="preserve">”网站公布的，投标截止时间前失信被执行人信息已撤销或更正的除外。 </w:t>
      </w:r>
    </w:p>
    <w:p w14:paraId="07E996A7">
      <w:pPr>
        <w:ind w:firstLine="480"/>
        <w:rPr>
          <w:rFonts w:eastAsiaTheme="minorEastAsia"/>
          <w:highlight w:val="none"/>
        </w:rPr>
      </w:pPr>
      <w:r>
        <w:rPr>
          <w:rFonts w:eastAsiaTheme="minorEastAsia"/>
          <w:highlight w:val="none"/>
        </w:rPr>
        <w:t>（</w:t>
      </w:r>
      <w:r>
        <w:rPr>
          <w:rFonts w:hint="eastAsia" w:eastAsiaTheme="minorEastAsia"/>
          <w:highlight w:val="none"/>
        </w:rPr>
        <w:t>4</w:t>
      </w:r>
      <w:r>
        <w:rPr>
          <w:rFonts w:eastAsiaTheme="minorEastAsia"/>
          <w:highlight w:val="none"/>
        </w:rPr>
        <w:t>）投标人不得存在的其他情形见招标文件投标人须知。</w:t>
      </w:r>
    </w:p>
    <w:p w14:paraId="0CEE4DF9">
      <w:pPr>
        <w:ind w:firstLine="480"/>
        <w:rPr>
          <w:rFonts w:eastAsiaTheme="minorEastAsia"/>
          <w:highlight w:val="none"/>
        </w:rPr>
      </w:pPr>
      <w:r>
        <w:rPr>
          <w:rFonts w:eastAsiaTheme="minorEastAsia"/>
          <w:highlight w:val="none"/>
        </w:rPr>
        <w:t>凡存在以上情形之一的，本项目招标人拒绝其投标，一经发现资格审查不予通过，不得被确定为中标候选人、中标人。在一次招投标活动中，相关参与人因上述情形，导致其资格预审不通过或者被取消中标候选人资格、中标人资格的，不因其之后情况的变化，改变已经作出的决定。</w:t>
      </w:r>
    </w:p>
    <w:p w14:paraId="56F6FC39">
      <w:pPr>
        <w:ind w:firstLine="480"/>
        <w:rPr>
          <w:rFonts w:eastAsiaTheme="minorEastAsia"/>
          <w:highlight w:val="none"/>
        </w:rPr>
      </w:pPr>
      <w:r>
        <w:rPr>
          <w:rFonts w:eastAsiaTheme="minorEastAsia"/>
          <w:highlight w:val="none"/>
        </w:rPr>
        <w:t>投标人应保证符合上述信誉要求，如被证明违反，除按照招标文件处理，还将被视为不诚信行为，由相关部门按规定处理。</w:t>
      </w:r>
      <w:bookmarkEnd w:id="55"/>
      <w:r>
        <w:rPr>
          <w:rFonts w:eastAsiaTheme="minorEastAsia"/>
          <w:highlight w:val="none"/>
        </w:rPr>
        <w:t>投标时无须提供证明材料，如有质疑或招标人要求再提供。</w:t>
      </w:r>
    </w:p>
    <w:p w14:paraId="6520027E">
      <w:pPr>
        <w:ind w:firstLine="480"/>
        <w:rPr>
          <w:rFonts w:eastAsiaTheme="minorEastAsia"/>
          <w:highlight w:val="none"/>
        </w:rPr>
      </w:pPr>
      <w:r>
        <w:rPr>
          <w:rFonts w:hint="eastAsia" w:eastAsiaTheme="minorEastAsia"/>
          <w:highlight w:val="none"/>
        </w:rPr>
        <w:t>4</w:t>
      </w:r>
      <w:r>
        <w:rPr>
          <w:rFonts w:eastAsiaTheme="minorEastAsia"/>
          <w:highlight w:val="none"/>
        </w:rPr>
        <w:t>、本次招标</w:t>
      </w:r>
      <w:r>
        <w:rPr>
          <w:rFonts w:eastAsiaTheme="minorEastAsia"/>
          <w:highlight w:val="none"/>
          <w:u w:val="single"/>
        </w:rPr>
        <w:t>不接受</w:t>
      </w:r>
      <w:r>
        <w:rPr>
          <w:rFonts w:eastAsiaTheme="minorEastAsia"/>
          <w:highlight w:val="none"/>
        </w:rPr>
        <w:t>联合体投标。</w:t>
      </w:r>
    </w:p>
    <w:p w14:paraId="24F66455">
      <w:pPr>
        <w:pStyle w:val="4"/>
        <w:wordWrap/>
        <w:rPr>
          <w:highlight w:val="none"/>
        </w:rPr>
      </w:pPr>
      <w:bookmarkStart w:id="56" w:name="_Toc511387373"/>
      <w:bookmarkStart w:id="57" w:name="_Toc9324"/>
      <w:bookmarkStart w:id="58" w:name="_Toc68108353"/>
      <w:bookmarkStart w:id="59" w:name="_Toc496096190"/>
      <w:r>
        <w:rPr>
          <w:highlight w:val="none"/>
        </w:rPr>
        <w:t>四、招标文件的获取</w:t>
      </w:r>
      <w:bookmarkEnd w:id="48"/>
      <w:bookmarkEnd w:id="49"/>
      <w:bookmarkEnd w:id="50"/>
      <w:bookmarkEnd w:id="51"/>
      <w:bookmarkEnd w:id="52"/>
      <w:bookmarkEnd w:id="53"/>
      <w:bookmarkEnd w:id="54"/>
      <w:bookmarkEnd w:id="56"/>
      <w:bookmarkEnd w:id="57"/>
      <w:bookmarkEnd w:id="58"/>
      <w:bookmarkEnd w:id="59"/>
    </w:p>
    <w:p w14:paraId="15825780">
      <w:pPr>
        <w:ind w:firstLine="480"/>
        <w:rPr>
          <w:rFonts w:eastAsiaTheme="minorEastAsia"/>
          <w:highlight w:val="none"/>
        </w:rPr>
      </w:pPr>
      <w:r>
        <w:rPr>
          <w:rFonts w:eastAsiaTheme="minorEastAsia"/>
          <w:highlight w:val="none"/>
        </w:rPr>
        <w:t>本项目招标文件在</w:t>
      </w:r>
      <w:r>
        <w:rPr>
          <w:rFonts w:hint="eastAsia" w:eastAsiaTheme="minorEastAsia"/>
          <w:highlight w:val="none"/>
        </w:rPr>
        <w:t>http://www.nxrzjt.com/网站</w:t>
      </w:r>
      <w:r>
        <w:rPr>
          <w:rFonts w:eastAsiaTheme="minorEastAsia"/>
          <w:highlight w:val="none"/>
        </w:rPr>
        <w:t>自行下载，不收取文件费用。</w:t>
      </w:r>
    </w:p>
    <w:p w14:paraId="5467FD7A">
      <w:pPr>
        <w:pStyle w:val="4"/>
        <w:wordWrap/>
        <w:rPr>
          <w:highlight w:val="none"/>
        </w:rPr>
      </w:pPr>
      <w:bookmarkStart w:id="60" w:name="_Toc21289"/>
      <w:bookmarkStart w:id="61" w:name="_Toc511387374"/>
      <w:bookmarkStart w:id="62" w:name="_Toc496096191"/>
      <w:bookmarkStart w:id="63" w:name="_Toc68108354"/>
      <w:bookmarkStart w:id="64" w:name="_Toc152045516"/>
      <w:bookmarkStart w:id="65" w:name="_Toc246996905"/>
      <w:bookmarkStart w:id="66" w:name="_Toc246996162"/>
      <w:bookmarkStart w:id="67" w:name="_Toc152042292"/>
      <w:bookmarkStart w:id="68" w:name="_Toc179632532"/>
      <w:bookmarkStart w:id="69" w:name="_Toc247085676"/>
      <w:bookmarkStart w:id="70" w:name="_Toc144974484"/>
      <w:r>
        <w:rPr>
          <w:highlight w:val="none"/>
        </w:rPr>
        <w:t>五、</w:t>
      </w:r>
      <w:bookmarkEnd w:id="60"/>
      <w:bookmarkEnd w:id="61"/>
      <w:bookmarkEnd w:id="62"/>
      <w:bookmarkEnd w:id="63"/>
      <w:r>
        <w:rPr>
          <w:rFonts w:hint="eastAsia"/>
          <w:highlight w:val="none"/>
        </w:rPr>
        <w:t>招标文件获取时间</w:t>
      </w:r>
    </w:p>
    <w:p w14:paraId="678525A1">
      <w:pPr>
        <w:ind w:firstLine="480"/>
        <w:rPr>
          <w:rFonts w:cs="TimesNewRomanPSMT"/>
          <w:highlight w:val="none"/>
        </w:rPr>
      </w:pPr>
      <w:r>
        <w:rPr>
          <w:rFonts w:hint="eastAsia" w:cs="TimesNewRomanPSMT"/>
          <w:highlight w:val="none"/>
        </w:rPr>
        <w:t>1、招标文件获取时间为：2026年10月</w:t>
      </w:r>
      <w:r>
        <w:rPr>
          <w:rFonts w:hint="eastAsia" w:cs="TimesNewRomanPSMT"/>
          <w:highlight w:val="none"/>
          <w:lang w:val="en-US" w:eastAsia="zh-CN"/>
        </w:rPr>
        <w:t>23</w:t>
      </w:r>
      <w:r>
        <w:rPr>
          <w:rFonts w:hint="eastAsia" w:cs="TimesNewRomanPSMT"/>
          <w:highlight w:val="none"/>
        </w:rPr>
        <w:t>日 至 2026年10月</w:t>
      </w:r>
      <w:r>
        <w:rPr>
          <w:rFonts w:hint="eastAsia" w:cs="TimesNewRomanPSMT"/>
          <w:highlight w:val="none"/>
          <w:lang w:val="en-US" w:eastAsia="zh-CN"/>
        </w:rPr>
        <w:t>29</w:t>
      </w:r>
      <w:r>
        <w:rPr>
          <w:rFonts w:hint="eastAsia" w:cs="TimesNewRomanPSMT"/>
          <w:highlight w:val="none"/>
        </w:rPr>
        <w:t>日</w:t>
      </w:r>
    </w:p>
    <w:p w14:paraId="3F70E36A">
      <w:pPr>
        <w:ind w:firstLine="480"/>
        <w:rPr>
          <w:rFonts w:cs="TimesNewRomanPSMT"/>
          <w:highlight w:val="none"/>
        </w:rPr>
      </w:pPr>
      <w:r>
        <w:rPr>
          <w:rFonts w:hint="eastAsia" w:cs="TimesNewRomanPSMT"/>
          <w:highlight w:val="none"/>
        </w:rPr>
        <w:t>2、投标截至时间为：2026年10月</w:t>
      </w:r>
      <w:r>
        <w:rPr>
          <w:rFonts w:hint="eastAsia" w:cs="TimesNewRomanPSMT"/>
          <w:highlight w:val="none"/>
          <w:lang w:val="en-US" w:eastAsia="zh-CN"/>
        </w:rPr>
        <w:t>29</w:t>
      </w:r>
      <w:r>
        <w:rPr>
          <w:rFonts w:hint="eastAsia" w:cs="TimesNewRomanPSMT"/>
          <w:highlight w:val="none"/>
        </w:rPr>
        <w:t>日09时30分；</w:t>
      </w:r>
    </w:p>
    <w:p w14:paraId="47604F56">
      <w:pPr>
        <w:pStyle w:val="4"/>
        <w:wordWrap/>
        <w:rPr>
          <w:highlight w:val="none"/>
        </w:rPr>
      </w:pPr>
      <w:r>
        <w:rPr>
          <w:highlight w:val="none"/>
        </w:rPr>
        <w:t>六、开标时间和地点</w:t>
      </w:r>
      <w:bookmarkEnd w:id="64"/>
      <w:bookmarkEnd w:id="65"/>
      <w:bookmarkEnd w:id="66"/>
      <w:bookmarkEnd w:id="67"/>
      <w:bookmarkEnd w:id="68"/>
      <w:bookmarkEnd w:id="69"/>
      <w:bookmarkEnd w:id="70"/>
      <w:bookmarkStart w:id="71" w:name="_Toc511387375"/>
      <w:bookmarkStart w:id="72" w:name="_Toc3082"/>
      <w:bookmarkStart w:id="73" w:name="_Toc496096192"/>
      <w:bookmarkStart w:id="74" w:name="_Toc68108355"/>
    </w:p>
    <w:p w14:paraId="2D86054E">
      <w:pPr>
        <w:ind w:firstLine="480"/>
        <w:rPr>
          <w:rFonts w:cs="TimesNewRomanPSMT"/>
          <w:highlight w:val="none"/>
        </w:rPr>
      </w:pPr>
      <w:r>
        <w:rPr>
          <w:rFonts w:hint="eastAsia" w:cs="TimesNewRomanPSMT"/>
          <w:highlight w:val="none"/>
        </w:rPr>
        <w:t>1、开标时间：2026年10月</w:t>
      </w:r>
      <w:r>
        <w:rPr>
          <w:rFonts w:hint="eastAsia" w:cs="TimesNewRomanPSMT"/>
          <w:highlight w:val="none"/>
          <w:lang w:val="en-US" w:eastAsia="zh-CN"/>
        </w:rPr>
        <w:t>29</w:t>
      </w:r>
      <w:r>
        <w:rPr>
          <w:rFonts w:hint="eastAsia" w:cs="TimesNewRomanPSMT"/>
          <w:highlight w:val="none"/>
        </w:rPr>
        <w:t>日09时30分；</w:t>
      </w:r>
    </w:p>
    <w:p w14:paraId="4AC9BB9D">
      <w:pPr>
        <w:ind w:firstLine="480"/>
        <w:rPr>
          <w:rFonts w:cs="TimesNewRomanPSMT"/>
          <w:highlight w:val="none"/>
        </w:rPr>
      </w:pPr>
      <w:r>
        <w:rPr>
          <w:rFonts w:hint="eastAsia" w:cs="TimesNewRomanPSMT"/>
          <w:highlight w:val="none"/>
        </w:rPr>
        <w:t>2、开标地点：本项目采用不见面开标。</w:t>
      </w:r>
      <w:bookmarkEnd w:id="71"/>
      <w:bookmarkEnd w:id="72"/>
      <w:bookmarkEnd w:id="73"/>
      <w:bookmarkEnd w:id="74"/>
      <w:bookmarkStart w:id="75" w:name="_Toc144974485"/>
      <w:bookmarkStart w:id="76" w:name="_Toc179632534"/>
      <w:bookmarkStart w:id="77" w:name="_Toc21573"/>
      <w:bookmarkStart w:id="78" w:name="_Toc496096194"/>
      <w:bookmarkStart w:id="79" w:name="_Toc152045517"/>
      <w:bookmarkStart w:id="80" w:name="_Toc152042293"/>
      <w:bookmarkStart w:id="81" w:name="_Toc246996907"/>
      <w:bookmarkStart w:id="82" w:name="_Toc511387377"/>
      <w:bookmarkStart w:id="83" w:name="_Toc247085678"/>
      <w:bookmarkStart w:id="84" w:name="_Toc246996164"/>
    </w:p>
    <w:p w14:paraId="7A5521AF">
      <w:pPr>
        <w:ind w:firstLine="480"/>
        <w:rPr>
          <w:rFonts w:eastAsiaTheme="minorEastAsia"/>
          <w:highlight w:val="none"/>
        </w:rPr>
      </w:pPr>
      <w:r>
        <w:rPr>
          <w:rFonts w:hint="eastAsia" w:cs="TimesNewRomanPSMT"/>
          <w:highlight w:val="none"/>
        </w:rPr>
        <w:t>3、</w:t>
      </w:r>
      <w:r>
        <w:rPr>
          <w:rFonts w:eastAsiaTheme="minorEastAsia"/>
          <w:highlight w:val="none"/>
        </w:rPr>
        <w:t xml:space="preserve">评标办法: </w:t>
      </w:r>
      <w:r>
        <w:rPr>
          <w:rFonts w:hint="eastAsia" w:eastAsiaTheme="minorEastAsia"/>
          <w:highlight w:val="none"/>
        </w:rPr>
        <w:t>综合评估法，具体详见招标文件</w:t>
      </w:r>
      <w:r>
        <w:rPr>
          <w:rFonts w:eastAsiaTheme="minorEastAsia"/>
          <w:highlight w:val="none"/>
        </w:rPr>
        <w:t>。</w:t>
      </w:r>
    </w:p>
    <w:p w14:paraId="16BF0275">
      <w:pPr>
        <w:ind w:firstLine="482"/>
        <w:rPr>
          <w:rFonts w:eastAsiaTheme="minorEastAsia"/>
          <w:highlight w:val="none"/>
        </w:rPr>
      </w:pPr>
      <w:r>
        <w:rPr>
          <w:rFonts w:hint="eastAsia" w:eastAsiaTheme="minorEastAsia"/>
          <w:b/>
          <w:highlight w:val="none"/>
        </w:rPr>
        <w:t>九</w:t>
      </w:r>
      <w:r>
        <w:rPr>
          <w:rFonts w:eastAsiaTheme="minorEastAsia"/>
          <w:b/>
          <w:highlight w:val="none"/>
        </w:rPr>
        <w:t>、</w:t>
      </w:r>
      <w:r>
        <w:rPr>
          <w:rFonts w:eastAsiaTheme="minorEastAsia"/>
          <w:highlight w:val="none"/>
        </w:rPr>
        <w:t>本项目严禁挂靠，一经核实挂靠，将被取消投标、中标资格，并按相关规定进行处罚，直至建议有关部门吊销资质证书。</w:t>
      </w:r>
    </w:p>
    <w:p w14:paraId="2DE825FB">
      <w:pPr>
        <w:pStyle w:val="4"/>
        <w:wordWrap/>
        <w:rPr>
          <w:highlight w:val="none"/>
        </w:rPr>
      </w:pPr>
      <w:bookmarkStart w:id="85" w:name="_Toc68108357"/>
      <w:r>
        <w:rPr>
          <w:highlight w:val="none"/>
        </w:rPr>
        <w:t>十、</w:t>
      </w:r>
      <w:bookmarkEnd w:id="85"/>
      <w:r>
        <w:rPr>
          <w:highlight w:val="none"/>
        </w:rPr>
        <w:t>发布公告的媒介</w:t>
      </w:r>
    </w:p>
    <w:p w14:paraId="7C1E74EC">
      <w:pPr>
        <w:ind w:firstLine="480"/>
        <w:rPr>
          <w:rFonts w:cs="TimesNewRomanPSMT"/>
          <w:highlight w:val="none"/>
        </w:rPr>
      </w:pPr>
      <w:r>
        <w:rPr>
          <w:rFonts w:cs="TimesNewRomanPSMT"/>
          <w:highlight w:val="none"/>
        </w:rPr>
        <w:t>本次招标公告同时在宜宾市南溪区</w:t>
      </w:r>
      <w:r>
        <w:rPr>
          <w:rFonts w:hint="eastAsia" w:cs="TimesNewRomanPSMT"/>
          <w:highlight w:val="none"/>
        </w:rPr>
        <w:t>XX平台</w:t>
      </w:r>
      <w:r>
        <w:rPr>
          <w:rFonts w:cs="TimesNewRomanPSMT"/>
          <w:highlight w:val="none"/>
        </w:rPr>
        <w:t>网站发布。</w:t>
      </w:r>
    </w:p>
    <w:bookmarkEnd w:id="45"/>
    <w:p w14:paraId="31FF2EBC">
      <w:pPr>
        <w:pStyle w:val="4"/>
        <w:wordWrap/>
        <w:rPr>
          <w:highlight w:val="none"/>
        </w:rPr>
      </w:pPr>
      <w:bookmarkStart w:id="86" w:name="_Toc68108356"/>
      <w:r>
        <w:rPr>
          <w:highlight w:val="none"/>
        </w:rPr>
        <w:t>十</w:t>
      </w:r>
      <w:r>
        <w:rPr>
          <w:rFonts w:hint="eastAsia"/>
          <w:highlight w:val="none"/>
        </w:rPr>
        <w:t>一</w:t>
      </w:r>
      <w:r>
        <w:rPr>
          <w:highlight w:val="none"/>
        </w:rPr>
        <w:t>、联系方式</w:t>
      </w:r>
      <w:bookmarkEnd w:id="75"/>
      <w:bookmarkEnd w:id="76"/>
      <w:bookmarkEnd w:id="77"/>
      <w:bookmarkEnd w:id="78"/>
      <w:bookmarkEnd w:id="79"/>
      <w:bookmarkEnd w:id="80"/>
      <w:bookmarkEnd w:id="81"/>
      <w:bookmarkEnd w:id="82"/>
      <w:bookmarkEnd w:id="83"/>
      <w:bookmarkEnd w:id="84"/>
      <w:bookmarkEnd w:id="86"/>
    </w:p>
    <w:p w14:paraId="455EEC2F">
      <w:pPr>
        <w:ind w:firstLine="480"/>
        <w:rPr>
          <w:rFonts w:eastAsiaTheme="minorEastAsia"/>
          <w:highlight w:val="none"/>
        </w:rPr>
      </w:pPr>
      <w:r>
        <w:rPr>
          <w:rFonts w:eastAsiaTheme="minorEastAsia"/>
          <w:highlight w:val="none"/>
        </w:rPr>
        <w:t>招标人：</w:t>
      </w:r>
      <w:r>
        <w:rPr>
          <w:rFonts w:hint="eastAsia" w:eastAsiaTheme="minorEastAsia"/>
          <w:highlight w:val="none"/>
        </w:rPr>
        <w:t>宜宾市南溪区中和教育文体发展有限公司</w:t>
      </w:r>
    </w:p>
    <w:p w14:paraId="7D7233D7">
      <w:pPr>
        <w:ind w:firstLine="480"/>
        <w:rPr>
          <w:rFonts w:eastAsiaTheme="minorEastAsia"/>
          <w:highlight w:val="none"/>
        </w:rPr>
      </w:pPr>
      <w:r>
        <w:rPr>
          <w:rFonts w:eastAsiaTheme="minorEastAsia"/>
          <w:highlight w:val="none"/>
        </w:rPr>
        <w:t>地址：四川省宜宾市南溪区仙源街道德公路丽雅时代新政务中心91号4栋7楼</w:t>
      </w:r>
    </w:p>
    <w:p w14:paraId="28AE9218">
      <w:pPr>
        <w:pStyle w:val="102"/>
        <w:ind w:firstLine="720" w:firstLineChars="300"/>
        <w:rPr>
          <w:rFonts w:hint="default" w:ascii="宋体" w:hAnsi="宋体" w:cs="宋体" w:eastAsiaTheme="minorEastAsia"/>
          <w:sz w:val="24"/>
          <w:szCs w:val="24"/>
          <w:highlight w:val="none"/>
          <w:lang w:val="en-US" w:eastAsia="zh-CN" w:bidi="ar-SA"/>
        </w:rPr>
      </w:pPr>
      <w:r>
        <w:rPr>
          <w:rFonts w:eastAsiaTheme="minorEastAsia"/>
          <w:highlight w:val="none"/>
        </w:rPr>
        <w:t>联系人：</w:t>
      </w:r>
      <w:r>
        <w:rPr>
          <w:rFonts w:hint="eastAsia" w:eastAsiaTheme="minorEastAsia"/>
          <w:highlight w:val="none"/>
          <w:lang w:val="en-US" w:eastAsia="zh-CN"/>
        </w:rPr>
        <w:t>黄老师</w:t>
      </w:r>
      <w:r>
        <w:rPr>
          <w:rFonts w:hint="eastAsia" w:eastAsiaTheme="minorEastAsia"/>
          <w:highlight w:val="none"/>
        </w:rPr>
        <w:t xml:space="preserve">                联系电话：</w:t>
      </w:r>
      <w:r>
        <w:rPr>
          <w:rFonts w:hint="eastAsia" w:ascii="宋体" w:hAnsi="宋体" w:cs="宋体"/>
          <w:color w:val="auto"/>
          <w:highlight w:val="none"/>
          <w:lang w:val="en-US" w:eastAsia="zh-CN"/>
        </w:rPr>
        <w:t>0</w:t>
      </w:r>
      <w:r>
        <w:rPr>
          <w:rFonts w:hint="eastAsia" w:ascii="宋体" w:hAnsi="宋体" w:cs="宋体" w:eastAsiaTheme="minorEastAsia"/>
          <w:sz w:val="24"/>
          <w:szCs w:val="24"/>
          <w:highlight w:val="none"/>
          <w:lang w:val="en-US" w:eastAsia="zh-CN" w:bidi="ar-SA"/>
        </w:rPr>
        <w:t>831-3308183</w:t>
      </w:r>
    </w:p>
    <w:p w14:paraId="32516F82">
      <w:pPr>
        <w:ind w:firstLine="480"/>
        <w:rPr>
          <w:rFonts w:ascii="宋体" w:hAnsi="宋体" w:cs="宋体" w:eastAsiaTheme="minorEastAsia"/>
          <w:sz w:val="24"/>
          <w:szCs w:val="24"/>
          <w:highlight w:val="none"/>
          <w:lang w:val="en-US" w:eastAsia="zh-CN" w:bidi="ar-SA"/>
        </w:rPr>
      </w:pPr>
    </w:p>
    <w:p w14:paraId="72338CE1">
      <w:pPr>
        <w:shd w:val="clear" w:color="auto" w:fill="FFFFFF"/>
        <w:spacing w:line="23" w:lineRule="atLeast"/>
        <w:ind w:firstLine="562"/>
        <w:rPr>
          <w:b/>
          <w:bCs/>
          <w:color w:val="333333"/>
          <w:sz w:val="28"/>
          <w:szCs w:val="28"/>
          <w:highlight w:val="none"/>
          <w:shd w:val="clear" w:color="auto" w:fill="FFFFFF"/>
        </w:rPr>
      </w:pPr>
    </w:p>
    <w:p w14:paraId="7AD9003A">
      <w:pPr>
        <w:shd w:val="clear" w:color="auto" w:fill="FFFFFF"/>
        <w:spacing w:line="23" w:lineRule="atLeast"/>
        <w:ind w:firstLine="562"/>
        <w:rPr>
          <w:b/>
          <w:bCs/>
          <w:color w:val="333333"/>
          <w:sz w:val="28"/>
          <w:szCs w:val="28"/>
          <w:shd w:val="clear" w:color="auto" w:fill="FFFFFF"/>
        </w:rPr>
      </w:pPr>
    </w:p>
    <w:p w14:paraId="47AD7353">
      <w:pPr>
        <w:shd w:val="clear" w:color="auto" w:fill="FFFFFF"/>
        <w:spacing w:line="23" w:lineRule="atLeast"/>
        <w:ind w:firstLine="562"/>
        <w:rPr>
          <w:b/>
          <w:bCs/>
          <w:color w:val="333333"/>
          <w:sz w:val="28"/>
          <w:szCs w:val="28"/>
          <w:shd w:val="clear" w:color="auto" w:fill="FFFFFF"/>
        </w:rPr>
      </w:pPr>
    </w:p>
    <w:p w14:paraId="519C2BE6">
      <w:pPr>
        <w:shd w:val="clear" w:color="auto" w:fill="FFFFFF"/>
        <w:spacing w:line="23" w:lineRule="atLeast"/>
        <w:ind w:firstLine="562"/>
        <w:rPr>
          <w:b/>
          <w:bCs/>
          <w:color w:val="333333"/>
          <w:sz w:val="28"/>
          <w:szCs w:val="28"/>
          <w:shd w:val="clear" w:color="auto" w:fill="FFFFFF"/>
        </w:rPr>
      </w:pPr>
    </w:p>
    <w:p w14:paraId="1C093CDE">
      <w:pPr>
        <w:pStyle w:val="2"/>
        <w:pageBreakBefore/>
        <w:ind w:firstLine="0" w:firstLineChars="0"/>
        <w:jc w:val="center"/>
        <w:rPr>
          <w:rStyle w:val="43"/>
          <w:b w:val="0"/>
          <w:bCs w:val="0"/>
          <w:sz w:val="44"/>
        </w:rPr>
      </w:pPr>
      <w:bookmarkStart w:id="87" w:name="_Toc152045527"/>
      <w:bookmarkStart w:id="88" w:name="_Toc152042303"/>
      <w:bookmarkStart w:id="89" w:name="_Toc511387378"/>
      <w:bookmarkStart w:id="90" w:name="_Toc246996173"/>
      <w:bookmarkStart w:id="91" w:name="_Toc179632544"/>
      <w:bookmarkStart w:id="92" w:name="_Toc247085687"/>
      <w:bookmarkStart w:id="93" w:name="_Toc144974495"/>
      <w:bookmarkStart w:id="94" w:name="_Toc68108358"/>
      <w:bookmarkStart w:id="95" w:name="_Toc13842"/>
      <w:bookmarkStart w:id="96" w:name="_Toc246996916"/>
      <w:bookmarkStart w:id="97" w:name="_Toc496096195"/>
      <w:bookmarkStart w:id="98" w:name="_Toc21448"/>
      <w:r>
        <w:rPr>
          <w:sz w:val="44"/>
        </w:rPr>
        <w:t>第二章  投标人须知</w:t>
      </w:r>
      <w:bookmarkEnd w:id="87"/>
      <w:bookmarkEnd w:id="88"/>
      <w:bookmarkEnd w:id="89"/>
      <w:bookmarkEnd w:id="90"/>
      <w:bookmarkEnd w:id="91"/>
      <w:bookmarkEnd w:id="92"/>
      <w:bookmarkEnd w:id="93"/>
      <w:bookmarkEnd w:id="94"/>
      <w:bookmarkEnd w:id="95"/>
      <w:bookmarkEnd w:id="96"/>
      <w:bookmarkEnd w:id="97"/>
    </w:p>
    <w:bookmarkEnd w:id="98"/>
    <w:p w14:paraId="2481A8D9">
      <w:pPr>
        <w:pStyle w:val="3"/>
        <w:pageBreakBefore w:val="0"/>
        <w:rPr>
          <w:rFonts w:ascii="Times New Roman" w:hAnsi="Times New Roman"/>
        </w:rPr>
      </w:pPr>
      <w:bookmarkStart w:id="99" w:name="_Toc152045528"/>
      <w:bookmarkStart w:id="100" w:name="_Toc179632545"/>
      <w:bookmarkStart w:id="101" w:name="_Toc144974496"/>
      <w:bookmarkStart w:id="102" w:name="_Toc511387379"/>
      <w:bookmarkStart w:id="103" w:name="_Toc246996174"/>
      <w:bookmarkStart w:id="104" w:name="_Toc68108359"/>
      <w:bookmarkStart w:id="105" w:name="_Toc152042304"/>
      <w:bookmarkStart w:id="106" w:name="_Toc496096196"/>
      <w:bookmarkStart w:id="107" w:name="_Toc1694"/>
      <w:bookmarkStart w:id="108" w:name="_Toc246996917"/>
      <w:bookmarkStart w:id="109" w:name="_Toc31212"/>
      <w:bookmarkStart w:id="110" w:name="_Toc247085688"/>
      <w:r>
        <w:rPr>
          <w:rFonts w:ascii="Times New Roman" w:hAnsi="Times New Roman"/>
        </w:rPr>
        <w:t>投标人须知前附表</w:t>
      </w:r>
      <w:bookmarkEnd w:id="99"/>
      <w:bookmarkEnd w:id="100"/>
      <w:bookmarkEnd w:id="101"/>
      <w:bookmarkEnd w:id="102"/>
      <w:bookmarkEnd w:id="103"/>
      <w:bookmarkEnd w:id="104"/>
      <w:bookmarkEnd w:id="105"/>
      <w:bookmarkEnd w:id="106"/>
      <w:bookmarkEnd w:id="107"/>
      <w:bookmarkEnd w:id="108"/>
      <w:bookmarkEnd w:id="109"/>
      <w:bookmarkEnd w:id="110"/>
    </w:p>
    <w:tbl>
      <w:tblPr>
        <w:tblStyle w:val="33"/>
        <w:tblW w:w="9351" w:type="dxa"/>
        <w:jc w:val="center"/>
        <w:tblLayout w:type="fixed"/>
        <w:tblCellMar>
          <w:top w:w="0" w:type="dxa"/>
          <w:left w:w="108" w:type="dxa"/>
          <w:bottom w:w="0" w:type="dxa"/>
          <w:right w:w="108" w:type="dxa"/>
        </w:tblCellMar>
      </w:tblPr>
      <w:tblGrid>
        <w:gridCol w:w="1013"/>
        <w:gridCol w:w="2356"/>
        <w:gridCol w:w="5982"/>
      </w:tblGrid>
      <w:tr w14:paraId="356945C0">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67CE3CB5">
            <w:pPr>
              <w:spacing w:line="360" w:lineRule="exact"/>
              <w:jc w:val="center"/>
              <w:rPr>
                <w:b/>
              </w:rPr>
            </w:pPr>
            <w:r>
              <w:rPr>
                <w:b/>
              </w:rPr>
              <w:t>条款号</w:t>
            </w:r>
          </w:p>
        </w:tc>
        <w:tc>
          <w:tcPr>
            <w:tcW w:w="2356" w:type="dxa"/>
            <w:tcBorders>
              <w:top w:val="single" w:color="auto" w:sz="4" w:space="0"/>
              <w:left w:val="single" w:color="auto" w:sz="4" w:space="0"/>
              <w:bottom w:val="single" w:color="auto" w:sz="4" w:space="0"/>
              <w:right w:val="single" w:color="auto" w:sz="4" w:space="0"/>
            </w:tcBorders>
            <w:vAlign w:val="center"/>
          </w:tcPr>
          <w:p w14:paraId="2F67311E">
            <w:pPr>
              <w:spacing w:line="360" w:lineRule="exact"/>
              <w:jc w:val="center"/>
              <w:rPr>
                <w:b/>
              </w:rPr>
            </w:pPr>
            <w:r>
              <w:rPr>
                <w:b/>
              </w:rPr>
              <w:t>条款名称</w:t>
            </w:r>
          </w:p>
        </w:tc>
        <w:tc>
          <w:tcPr>
            <w:tcW w:w="5982" w:type="dxa"/>
            <w:tcBorders>
              <w:top w:val="single" w:color="auto" w:sz="4" w:space="0"/>
              <w:left w:val="single" w:color="auto" w:sz="4" w:space="0"/>
              <w:bottom w:val="single" w:color="auto" w:sz="4" w:space="0"/>
              <w:right w:val="single" w:color="auto" w:sz="4" w:space="0"/>
            </w:tcBorders>
            <w:vAlign w:val="center"/>
          </w:tcPr>
          <w:p w14:paraId="152BAB16">
            <w:pPr>
              <w:spacing w:line="360" w:lineRule="exact"/>
              <w:jc w:val="center"/>
              <w:rPr>
                <w:b/>
              </w:rPr>
            </w:pPr>
            <w:r>
              <w:rPr>
                <w:b/>
              </w:rPr>
              <w:t>编列内容</w:t>
            </w:r>
          </w:p>
        </w:tc>
      </w:tr>
      <w:tr w14:paraId="12723AE0">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4D5BF750">
            <w:pPr>
              <w:spacing w:line="360" w:lineRule="exact"/>
              <w:jc w:val="center"/>
            </w:pPr>
            <w:r>
              <w:t>1.1.2</w:t>
            </w:r>
          </w:p>
        </w:tc>
        <w:tc>
          <w:tcPr>
            <w:tcW w:w="2356" w:type="dxa"/>
            <w:tcBorders>
              <w:top w:val="single" w:color="auto" w:sz="4" w:space="0"/>
              <w:left w:val="single" w:color="auto" w:sz="4" w:space="0"/>
              <w:bottom w:val="single" w:color="auto" w:sz="4" w:space="0"/>
              <w:right w:val="single" w:color="auto" w:sz="4" w:space="0"/>
            </w:tcBorders>
            <w:vAlign w:val="center"/>
          </w:tcPr>
          <w:p w14:paraId="76910342">
            <w:pPr>
              <w:spacing w:line="360" w:lineRule="exact"/>
              <w:jc w:val="center"/>
            </w:pPr>
            <w:r>
              <w:t>招标人</w:t>
            </w:r>
          </w:p>
        </w:tc>
        <w:tc>
          <w:tcPr>
            <w:tcW w:w="5982" w:type="dxa"/>
            <w:tcBorders>
              <w:top w:val="single" w:color="auto" w:sz="4" w:space="0"/>
              <w:left w:val="single" w:color="auto" w:sz="4" w:space="0"/>
              <w:bottom w:val="single" w:color="auto" w:sz="4" w:space="0"/>
              <w:right w:val="single" w:color="auto" w:sz="4" w:space="0"/>
            </w:tcBorders>
            <w:vAlign w:val="center"/>
          </w:tcPr>
          <w:p w14:paraId="0131F7B2">
            <w:pPr>
              <w:spacing w:line="360" w:lineRule="exact"/>
            </w:pPr>
            <w:r>
              <w:t>招标人：</w:t>
            </w:r>
            <w:r>
              <w:rPr>
                <w:rFonts w:hint="eastAsia"/>
              </w:rPr>
              <w:t>宜宾市南溪区中和教育文体发展有限公司</w:t>
            </w:r>
          </w:p>
          <w:p w14:paraId="1FE25829">
            <w:pPr>
              <w:spacing w:line="360" w:lineRule="exact"/>
            </w:pPr>
            <w:r>
              <w:rPr>
                <w:rFonts w:eastAsiaTheme="minorEastAsia"/>
              </w:rPr>
              <w:t>地址：</w:t>
            </w:r>
            <w:r>
              <w:rPr>
                <w:rFonts w:hint="eastAsia"/>
              </w:rPr>
              <w:t>四川省宜宾市南溪区仙源街道德公路丽雅时代新政务中心91号4栋7楼</w:t>
            </w:r>
          </w:p>
          <w:p w14:paraId="52F7A86D">
            <w:pPr>
              <w:spacing w:line="360" w:lineRule="exact"/>
              <w:rPr>
                <w:rFonts w:hint="default" w:eastAsia="宋体"/>
                <w:highlight w:val="none"/>
                <w:lang w:val="en-US" w:eastAsia="zh-CN"/>
              </w:rPr>
            </w:pPr>
            <w:r>
              <w:rPr>
                <w:highlight w:val="none"/>
              </w:rPr>
              <w:t>联系人：</w:t>
            </w:r>
            <w:r>
              <w:rPr>
                <w:rFonts w:hint="eastAsia"/>
                <w:highlight w:val="none"/>
                <w:lang w:val="en-US" w:eastAsia="zh-CN"/>
              </w:rPr>
              <w:t>黄老师</w:t>
            </w:r>
          </w:p>
          <w:p w14:paraId="23049216">
            <w:pPr>
              <w:pStyle w:val="102"/>
              <w:ind w:left="0" w:leftChars="0" w:firstLine="0" w:firstLineChars="0"/>
            </w:pPr>
            <w:r>
              <w:rPr>
                <w:highlight w:val="none"/>
              </w:rPr>
              <w:t>电话：</w:t>
            </w:r>
            <w:r>
              <w:rPr>
                <w:rFonts w:hint="eastAsia" w:ascii="宋体" w:hAnsi="宋体" w:cs="宋体"/>
                <w:color w:val="auto"/>
                <w:highlight w:val="none"/>
                <w:lang w:val="en-US" w:eastAsia="zh-CN"/>
              </w:rPr>
              <w:t>0831-3308183</w:t>
            </w:r>
          </w:p>
        </w:tc>
      </w:tr>
      <w:tr w14:paraId="5EC86A32">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6537940B">
            <w:pPr>
              <w:spacing w:line="360" w:lineRule="exact"/>
              <w:jc w:val="center"/>
            </w:pPr>
            <w:r>
              <w:t>1.1.</w:t>
            </w:r>
            <w:r>
              <w:rPr>
                <w:rFonts w:hint="eastAsia"/>
              </w:rPr>
              <w:t>3</w:t>
            </w:r>
          </w:p>
        </w:tc>
        <w:tc>
          <w:tcPr>
            <w:tcW w:w="2356" w:type="dxa"/>
            <w:tcBorders>
              <w:top w:val="single" w:color="auto" w:sz="4" w:space="0"/>
              <w:left w:val="single" w:color="auto" w:sz="4" w:space="0"/>
              <w:bottom w:val="single" w:color="auto" w:sz="4" w:space="0"/>
              <w:right w:val="single" w:color="auto" w:sz="4" w:space="0"/>
            </w:tcBorders>
            <w:vAlign w:val="center"/>
          </w:tcPr>
          <w:p w14:paraId="1E47D62F">
            <w:pPr>
              <w:spacing w:line="360" w:lineRule="exact"/>
              <w:jc w:val="center"/>
            </w:pPr>
            <w:r>
              <w:t>项目名称</w:t>
            </w:r>
          </w:p>
        </w:tc>
        <w:tc>
          <w:tcPr>
            <w:tcW w:w="5982" w:type="dxa"/>
            <w:tcBorders>
              <w:top w:val="single" w:color="auto" w:sz="4" w:space="0"/>
              <w:left w:val="single" w:color="auto" w:sz="4" w:space="0"/>
              <w:bottom w:val="single" w:color="auto" w:sz="4" w:space="0"/>
              <w:right w:val="single" w:color="auto" w:sz="4" w:space="0"/>
            </w:tcBorders>
            <w:vAlign w:val="center"/>
          </w:tcPr>
          <w:p w14:paraId="48CB67FD">
            <w:pPr>
              <w:spacing w:line="360" w:lineRule="exact"/>
            </w:pPr>
            <w:r>
              <w:rPr>
                <w:rFonts w:hint="eastAsia"/>
              </w:rPr>
              <w:t>宜宾市南溪区中和教育文体发展有限公司</w:t>
            </w:r>
            <w:r>
              <w:t>数据资产增值服务项目</w:t>
            </w:r>
          </w:p>
        </w:tc>
      </w:tr>
      <w:tr w14:paraId="68D5F4D4">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0DAEEE22">
            <w:pPr>
              <w:spacing w:line="360" w:lineRule="exact"/>
              <w:jc w:val="center"/>
            </w:pPr>
            <w:r>
              <w:t>1.2.1</w:t>
            </w:r>
          </w:p>
        </w:tc>
        <w:tc>
          <w:tcPr>
            <w:tcW w:w="2356" w:type="dxa"/>
            <w:tcBorders>
              <w:top w:val="single" w:color="auto" w:sz="4" w:space="0"/>
              <w:left w:val="single" w:color="auto" w:sz="4" w:space="0"/>
              <w:bottom w:val="single" w:color="auto" w:sz="4" w:space="0"/>
              <w:right w:val="single" w:color="auto" w:sz="4" w:space="0"/>
            </w:tcBorders>
            <w:vAlign w:val="center"/>
          </w:tcPr>
          <w:p w14:paraId="1884DBE6">
            <w:pPr>
              <w:spacing w:line="360" w:lineRule="exact"/>
              <w:jc w:val="center"/>
            </w:pPr>
            <w:r>
              <w:t>资金来源及比例</w:t>
            </w:r>
          </w:p>
        </w:tc>
        <w:tc>
          <w:tcPr>
            <w:tcW w:w="5982" w:type="dxa"/>
            <w:tcBorders>
              <w:top w:val="single" w:color="auto" w:sz="4" w:space="0"/>
              <w:left w:val="single" w:color="auto" w:sz="4" w:space="0"/>
              <w:bottom w:val="single" w:color="auto" w:sz="4" w:space="0"/>
              <w:right w:val="single" w:color="auto" w:sz="4" w:space="0"/>
            </w:tcBorders>
            <w:vAlign w:val="center"/>
          </w:tcPr>
          <w:p w14:paraId="766B4104">
            <w:pPr>
              <w:spacing w:line="360" w:lineRule="exact"/>
            </w:pPr>
            <w:r>
              <w:t>自筹、100%</w:t>
            </w:r>
          </w:p>
        </w:tc>
      </w:tr>
      <w:tr w14:paraId="6C2E1338">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48CBB083">
            <w:pPr>
              <w:spacing w:line="360" w:lineRule="exact"/>
              <w:jc w:val="center"/>
            </w:pPr>
            <w:r>
              <w:t>1.2.2</w:t>
            </w:r>
          </w:p>
        </w:tc>
        <w:tc>
          <w:tcPr>
            <w:tcW w:w="2356" w:type="dxa"/>
            <w:tcBorders>
              <w:top w:val="single" w:color="auto" w:sz="4" w:space="0"/>
              <w:left w:val="single" w:color="auto" w:sz="4" w:space="0"/>
              <w:bottom w:val="single" w:color="auto" w:sz="4" w:space="0"/>
              <w:right w:val="single" w:color="auto" w:sz="4" w:space="0"/>
            </w:tcBorders>
            <w:vAlign w:val="center"/>
          </w:tcPr>
          <w:p w14:paraId="03B93EB0">
            <w:pPr>
              <w:spacing w:line="360" w:lineRule="exact"/>
              <w:jc w:val="center"/>
            </w:pPr>
            <w:r>
              <w:t>资金落实情况</w:t>
            </w:r>
          </w:p>
        </w:tc>
        <w:tc>
          <w:tcPr>
            <w:tcW w:w="5982" w:type="dxa"/>
            <w:tcBorders>
              <w:top w:val="single" w:color="auto" w:sz="4" w:space="0"/>
              <w:left w:val="single" w:color="auto" w:sz="4" w:space="0"/>
              <w:bottom w:val="single" w:color="auto" w:sz="4" w:space="0"/>
              <w:right w:val="single" w:color="auto" w:sz="4" w:space="0"/>
            </w:tcBorders>
            <w:vAlign w:val="center"/>
          </w:tcPr>
          <w:p w14:paraId="0208E147">
            <w:pPr>
              <w:spacing w:line="360" w:lineRule="exact"/>
            </w:pPr>
            <w:r>
              <w:t>已落实</w:t>
            </w:r>
          </w:p>
        </w:tc>
      </w:tr>
      <w:tr w14:paraId="02D5F07D">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129074B3">
            <w:pPr>
              <w:spacing w:line="360" w:lineRule="exact"/>
              <w:jc w:val="center"/>
            </w:pPr>
            <w:r>
              <w:t>1.3.1</w:t>
            </w:r>
          </w:p>
        </w:tc>
        <w:tc>
          <w:tcPr>
            <w:tcW w:w="2356" w:type="dxa"/>
            <w:tcBorders>
              <w:top w:val="single" w:color="auto" w:sz="4" w:space="0"/>
              <w:left w:val="single" w:color="auto" w:sz="4" w:space="0"/>
              <w:bottom w:val="single" w:color="auto" w:sz="4" w:space="0"/>
              <w:right w:val="single" w:color="auto" w:sz="4" w:space="0"/>
            </w:tcBorders>
            <w:vAlign w:val="center"/>
          </w:tcPr>
          <w:p w14:paraId="7B86E6A8">
            <w:pPr>
              <w:spacing w:line="360" w:lineRule="exact"/>
              <w:jc w:val="center"/>
            </w:pPr>
            <w:r>
              <w:t>招标</w:t>
            </w:r>
            <w:r>
              <w:rPr>
                <w:rFonts w:hint="eastAsia"/>
              </w:rPr>
              <w:t>范围</w:t>
            </w:r>
          </w:p>
        </w:tc>
        <w:tc>
          <w:tcPr>
            <w:tcW w:w="5982" w:type="dxa"/>
            <w:tcBorders>
              <w:top w:val="single" w:color="auto" w:sz="4" w:space="0"/>
              <w:left w:val="single" w:color="auto" w:sz="4" w:space="0"/>
              <w:bottom w:val="single" w:color="auto" w:sz="4" w:space="0"/>
              <w:right w:val="single" w:color="auto" w:sz="4" w:space="0"/>
            </w:tcBorders>
            <w:vAlign w:val="center"/>
          </w:tcPr>
          <w:p w14:paraId="35FCE646">
            <w:pPr>
              <w:spacing w:line="360" w:lineRule="exact"/>
            </w:pPr>
            <w:r>
              <w:t>见招标公告</w:t>
            </w:r>
          </w:p>
        </w:tc>
      </w:tr>
      <w:tr w14:paraId="5CBBBC6E">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18C2D221">
            <w:pPr>
              <w:spacing w:line="360" w:lineRule="exact"/>
              <w:jc w:val="center"/>
            </w:pPr>
            <w:r>
              <w:t>1.3.2</w:t>
            </w:r>
          </w:p>
        </w:tc>
        <w:tc>
          <w:tcPr>
            <w:tcW w:w="2356" w:type="dxa"/>
            <w:tcBorders>
              <w:top w:val="single" w:color="auto" w:sz="4" w:space="0"/>
              <w:left w:val="single" w:color="auto" w:sz="4" w:space="0"/>
              <w:bottom w:val="single" w:color="auto" w:sz="4" w:space="0"/>
              <w:right w:val="single" w:color="auto" w:sz="4" w:space="0"/>
            </w:tcBorders>
            <w:vAlign w:val="center"/>
          </w:tcPr>
          <w:p w14:paraId="509BE661">
            <w:pPr>
              <w:spacing w:line="360" w:lineRule="exact"/>
              <w:jc w:val="center"/>
            </w:pPr>
            <w:r>
              <w:t>服务期限</w:t>
            </w:r>
          </w:p>
        </w:tc>
        <w:tc>
          <w:tcPr>
            <w:tcW w:w="5982" w:type="dxa"/>
            <w:tcBorders>
              <w:top w:val="single" w:color="auto" w:sz="4" w:space="0"/>
              <w:left w:val="single" w:color="auto" w:sz="4" w:space="0"/>
              <w:bottom w:val="single" w:color="auto" w:sz="4" w:space="0"/>
              <w:right w:val="single" w:color="auto" w:sz="4" w:space="0"/>
            </w:tcBorders>
            <w:vAlign w:val="center"/>
          </w:tcPr>
          <w:p w14:paraId="0303448C">
            <w:pPr>
              <w:spacing w:line="360" w:lineRule="exact"/>
            </w:pPr>
            <w:r>
              <w:t>见招标公告</w:t>
            </w:r>
          </w:p>
        </w:tc>
      </w:tr>
      <w:tr w14:paraId="2E97EB62">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1F096F30">
            <w:pPr>
              <w:spacing w:line="360" w:lineRule="exact"/>
              <w:jc w:val="center"/>
            </w:pPr>
            <w:r>
              <w:t>1.3.3</w:t>
            </w:r>
          </w:p>
        </w:tc>
        <w:tc>
          <w:tcPr>
            <w:tcW w:w="2356" w:type="dxa"/>
            <w:tcBorders>
              <w:top w:val="single" w:color="auto" w:sz="4" w:space="0"/>
              <w:left w:val="single" w:color="auto" w:sz="4" w:space="0"/>
              <w:bottom w:val="single" w:color="auto" w:sz="4" w:space="0"/>
              <w:right w:val="single" w:color="auto" w:sz="4" w:space="0"/>
            </w:tcBorders>
            <w:vAlign w:val="center"/>
          </w:tcPr>
          <w:p w14:paraId="37508E79">
            <w:pPr>
              <w:spacing w:line="360" w:lineRule="exact"/>
              <w:jc w:val="center"/>
            </w:pPr>
            <w:r>
              <w:t>质量要求</w:t>
            </w:r>
          </w:p>
        </w:tc>
        <w:tc>
          <w:tcPr>
            <w:tcW w:w="5982" w:type="dxa"/>
            <w:tcBorders>
              <w:top w:val="single" w:color="auto" w:sz="4" w:space="0"/>
              <w:left w:val="single" w:color="auto" w:sz="4" w:space="0"/>
              <w:bottom w:val="single" w:color="auto" w:sz="4" w:space="0"/>
              <w:right w:val="single" w:color="auto" w:sz="4" w:space="0"/>
            </w:tcBorders>
            <w:vAlign w:val="center"/>
          </w:tcPr>
          <w:p w14:paraId="3179D068">
            <w:pPr>
              <w:spacing w:line="360" w:lineRule="exact"/>
            </w:pPr>
            <w:r>
              <w:t>见招标公告</w:t>
            </w:r>
          </w:p>
        </w:tc>
      </w:tr>
      <w:tr w14:paraId="4D95A56F">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7998046B">
            <w:pPr>
              <w:spacing w:line="360" w:lineRule="exact"/>
              <w:jc w:val="center"/>
            </w:pPr>
            <w:r>
              <w:t>1.4.1</w:t>
            </w:r>
          </w:p>
        </w:tc>
        <w:tc>
          <w:tcPr>
            <w:tcW w:w="2356" w:type="dxa"/>
            <w:tcBorders>
              <w:top w:val="single" w:color="auto" w:sz="4" w:space="0"/>
              <w:left w:val="single" w:color="auto" w:sz="4" w:space="0"/>
              <w:bottom w:val="single" w:color="auto" w:sz="4" w:space="0"/>
              <w:right w:val="single" w:color="auto" w:sz="4" w:space="0"/>
            </w:tcBorders>
            <w:vAlign w:val="center"/>
          </w:tcPr>
          <w:p w14:paraId="2FA5174A">
            <w:pPr>
              <w:spacing w:line="360" w:lineRule="exact"/>
              <w:jc w:val="center"/>
            </w:pPr>
            <w:r>
              <w:t>投标人资质条件、能力和信誉</w:t>
            </w:r>
          </w:p>
        </w:tc>
        <w:tc>
          <w:tcPr>
            <w:tcW w:w="5982" w:type="dxa"/>
            <w:tcBorders>
              <w:top w:val="single" w:color="auto" w:sz="4" w:space="0"/>
              <w:left w:val="single" w:color="auto" w:sz="4" w:space="0"/>
              <w:bottom w:val="single" w:color="auto" w:sz="4" w:space="0"/>
              <w:right w:val="single" w:color="auto" w:sz="4" w:space="0"/>
            </w:tcBorders>
            <w:vAlign w:val="center"/>
          </w:tcPr>
          <w:p w14:paraId="585E7E1D">
            <w:pPr>
              <w:tabs>
                <w:tab w:val="left" w:pos="3960"/>
              </w:tabs>
              <w:spacing w:line="360" w:lineRule="exact"/>
            </w:pPr>
            <w:r>
              <w:t>详见招标公告</w:t>
            </w:r>
          </w:p>
        </w:tc>
      </w:tr>
      <w:tr w14:paraId="15C24611">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20957A9D">
            <w:pPr>
              <w:spacing w:line="360" w:lineRule="exact"/>
              <w:jc w:val="center"/>
            </w:pPr>
            <w:r>
              <w:t>1.4.2</w:t>
            </w:r>
          </w:p>
        </w:tc>
        <w:tc>
          <w:tcPr>
            <w:tcW w:w="2356" w:type="dxa"/>
            <w:tcBorders>
              <w:top w:val="single" w:color="auto" w:sz="4" w:space="0"/>
              <w:left w:val="single" w:color="auto" w:sz="4" w:space="0"/>
              <w:bottom w:val="single" w:color="auto" w:sz="4" w:space="0"/>
              <w:right w:val="single" w:color="auto" w:sz="4" w:space="0"/>
            </w:tcBorders>
            <w:vAlign w:val="center"/>
          </w:tcPr>
          <w:p w14:paraId="5059B44F">
            <w:pPr>
              <w:spacing w:line="360" w:lineRule="exact"/>
              <w:jc w:val="center"/>
            </w:pPr>
            <w:r>
              <w:t>是否接受联合体投标</w:t>
            </w:r>
          </w:p>
        </w:tc>
        <w:tc>
          <w:tcPr>
            <w:tcW w:w="5982" w:type="dxa"/>
            <w:tcBorders>
              <w:top w:val="single" w:color="auto" w:sz="4" w:space="0"/>
              <w:left w:val="single" w:color="auto" w:sz="4" w:space="0"/>
              <w:bottom w:val="single" w:color="auto" w:sz="4" w:space="0"/>
              <w:right w:val="single" w:color="auto" w:sz="4" w:space="0"/>
            </w:tcBorders>
            <w:vAlign w:val="center"/>
          </w:tcPr>
          <w:p w14:paraId="644E0F00">
            <w:pPr>
              <w:spacing w:line="360" w:lineRule="exact"/>
            </w:pPr>
            <w:r>
              <w:t xml:space="preserve">不接受                     </w:t>
            </w:r>
          </w:p>
        </w:tc>
      </w:tr>
      <w:tr w14:paraId="2AC568AB">
        <w:tblPrEx>
          <w:tblCellMar>
            <w:top w:w="0" w:type="dxa"/>
            <w:left w:w="108" w:type="dxa"/>
            <w:bottom w:w="0" w:type="dxa"/>
            <w:right w:w="108" w:type="dxa"/>
          </w:tblCellMar>
        </w:tblPrEx>
        <w:trPr>
          <w:trHeight w:val="531"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6F345978">
            <w:pPr>
              <w:spacing w:line="360" w:lineRule="exact"/>
              <w:jc w:val="center"/>
            </w:pPr>
            <w:r>
              <w:rPr>
                <w:rFonts w:hint="eastAsia"/>
              </w:rPr>
              <w:t>2.1</w:t>
            </w:r>
          </w:p>
        </w:tc>
        <w:tc>
          <w:tcPr>
            <w:tcW w:w="2356" w:type="dxa"/>
            <w:tcBorders>
              <w:top w:val="single" w:color="auto" w:sz="4" w:space="0"/>
              <w:left w:val="single" w:color="auto" w:sz="4" w:space="0"/>
              <w:bottom w:val="single" w:color="auto" w:sz="4" w:space="0"/>
              <w:right w:val="single" w:color="auto" w:sz="4" w:space="0"/>
            </w:tcBorders>
            <w:vAlign w:val="center"/>
          </w:tcPr>
          <w:p w14:paraId="44D7FA73">
            <w:pPr>
              <w:spacing w:line="360" w:lineRule="exact"/>
              <w:jc w:val="center"/>
            </w:pPr>
            <w:r>
              <w:rPr>
                <w:rFonts w:hint="eastAsia"/>
              </w:rPr>
              <w:t>招标文件组成</w:t>
            </w:r>
          </w:p>
        </w:tc>
        <w:tc>
          <w:tcPr>
            <w:tcW w:w="5982" w:type="dxa"/>
            <w:tcBorders>
              <w:top w:val="single" w:color="auto" w:sz="4" w:space="0"/>
              <w:left w:val="single" w:color="auto" w:sz="4" w:space="0"/>
              <w:bottom w:val="single" w:color="auto" w:sz="4" w:space="0"/>
              <w:right w:val="single" w:color="auto" w:sz="4" w:space="0"/>
            </w:tcBorders>
            <w:vAlign w:val="center"/>
          </w:tcPr>
          <w:p w14:paraId="35207735">
            <w:pPr>
              <w:spacing w:line="360" w:lineRule="exact"/>
            </w:pPr>
            <w:r>
              <w:rPr>
                <w:rFonts w:hint="eastAsia"/>
              </w:rPr>
              <w:t>招标文件在集采平台系统内自行下载</w:t>
            </w:r>
          </w:p>
        </w:tc>
      </w:tr>
      <w:tr w14:paraId="7B24968A">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169B7C65">
            <w:pPr>
              <w:spacing w:line="360" w:lineRule="exact"/>
              <w:jc w:val="center"/>
            </w:pPr>
            <w:r>
              <w:rPr>
                <w:szCs w:val="21"/>
              </w:rPr>
              <w:t>2.</w:t>
            </w:r>
            <w:r>
              <w:rPr>
                <w:rFonts w:hint="eastAsia"/>
                <w:szCs w:val="21"/>
              </w:rPr>
              <w:t>2</w:t>
            </w:r>
          </w:p>
        </w:tc>
        <w:tc>
          <w:tcPr>
            <w:tcW w:w="2356" w:type="dxa"/>
            <w:tcBorders>
              <w:top w:val="single" w:color="auto" w:sz="4" w:space="0"/>
              <w:left w:val="single" w:color="auto" w:sz="4" w:space="0"/>
              <w:bottom w:val="single" w:color="auto" w:sz="4" w:space="0"/>
              <w:right w:val="single" w:color="auto" w:sz="4" w:space="0"/>
            </w:tcBorders>
            <w:vAlign w:val="center"/>
          </w:tcPr>
          <w:p w14:paraId="73F3F0FF">
            <w:pPr>
              <w:spacing w:line="360" w:lineRule="exact"/>
              <w:jc w:val="center"/>
            </w:pPr>
            <w:r>
              <w:t>最高投标限价</w:t>
            </w:r>
          </w:p>
        </w:tc>
        <w:tc>
          <w:tcPr>
            <w:tcW w:w="5982" w:type="dxa"/>
            <w:tcBorders>
              <w:top w:val="single" w:color="auto" w:sz="4" w:space="0"/>
              <w:left w:val="single" w:color="auto" w:sz="4" w:space="0"/>
              <w:bottom w:val="single" w:color="auto" w:sz="4" w:space="0"/>
              <w:right w:val="single" w:color="auto" w:sz="4" w:space="0"/>
            </w:tcBorders>
            <w:vAlign w:val="center"/>
          </w:tcPr>
          <w:p w14:paraId="4A43D08C">
            <w:pPr>
              <w:spacing w:line="360" w:lineRule="exact"/>
              <w:ind w:firstLine="480"/>
            </w:pPr>
            <w:r>
              <w:t>本项目最高投标限价为</w:t>
            </w:r>
            <w:r>
              <w:rPr>
                <w:b/>
                <w:bCs/>
                <w:u w:val="single"/>
              </w:rPr>
              <w:t xml:space="preserve">人民币 </w:t>
            </w:r>
            <w:r>
              <w:rPr>
                <w:rFonts w:hint="eastAsia"/>
                <w:b/>
                <w:bCs/>
                <w:u w:val="single"/>
              </w:rPr>
              <w:t>70</w:t>
            </w:r>
            <w:r>
              <w:rPr>
                <w:b/>
                <w:bCs/>
                <w:u w:val="single"/>
              </w:rPr>
              <w:t>万元</w:t>
            </w:r>
            <w:r>
              <w:rPr>
                <w:rFonts w:hint="eastAsia"/>
                <w:b/>
                <w:bCs/>
                <w:u w:val="single"/>
              </w:rPr>
              <w:t>整</w:t>
            </w:r>
            <w:r>
              <w:t>。</w:t>
            </w:r>
            <w:r>
              <w:rPr>
                <w:b/>
                <w:bCs/>
              </w:rPr>
              <w:t>投标人的投标报价不得超过最高投标限价，否则作无效标书处理。</w:t>
            </w:r>
          </w:p>
        </w:tc>
      </w:tr>
      <w:tr w14:paraId="73886DB2">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2C5448ED">
            <w:pPr>
              <w:spacing w:line="360" w:lineRule="exact"/>
              <w:jc w:val="center"/>
              <w:rPr>
                <w:szCs w:val="21"/>
              </w:rPr>
            </w:pPr>
            <w:r>
              <w:rPr>
                <w:rFonts w:hint="eastAsia"/>
                <w:szCs w:val="21"/>
              </w:rPr>
              <w:t>2.3</w:t>
            </w:r>
          </w:p>
        </w:tc>
        <w:tc>
          <w:tcPr>
            <w:tcW w:w="2356" w:type="dxa"/>
            <w:tcBorders>
              <w:top w:val="single" w:color="auto" w:sz="4" w:space="0"/>
              <w:left w:val="single" w:color="auto" w:sz="4" w:space="0"/>
              <w:bottom w:val="single" w:color="auto" w:sz="4" w:space="0"/>
              <w:right w:val="single" w:color="auto" w:sz="4" w:space="0"/>
            </w:tcBorders>
            <w:vAlign w:val="center"/>
          </w:tcPr>
          <w:p w14:paraId="27E7E233">
            <w:pPr>
              <w:spacing w:line="360" w:lineRule="exact"/>
              <w:jc w:val="center"/>
            </w:pPr>
            <w:r>
              <w:rPr>
                <w:rFonts w:hint="eastAsia"/>
              </w:rPr>
              <w:t>入围方式</w:t>
            </w:r>
          </w:p>
        </w:tc>
        <w:tc>
          <w:tcPr>
            <w:tcW w:w="5982" w:type="dxa"/>
            <w:tcBorders>
              <w:top w:val="single" w:color="auto" w:sz="4" w:space="0"/>
              <w:left w:val="single" w:color="auto" w:sz="4" w:space="0"/>
              <w:bottom w:val="single" w:color="auto" w:sz="4" w:space="0"/>
              <w:right w:val="single" w:color="auto" w:sz="4" w:space="0"/>
            </w:tcBorders>
            <w:vAlign w:val="center"/>
          </w:tcPr>
          <w:p w14:paraId="37C6E6E6">
            <w:pPr>
              <w:spacing w:line="360" w:lineRule="exact"/>
            </w:pPr>
            <w:r>
              <w:rPr>
                <w:rFonts w:hint="eastAsia"/>
              </w:rPr>
              <w:t>全部入围</w:t>
            </w:r>
          </w:p>
        </w:tc>
      </w:tr>
      <w:tr w14:paraId="5D6A2299">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3D311721">
            <w:pPr>
              <w:spacing w:line="360" w:lineRule="exact"/>
              <w:jc w:val="center"/>
              <w:rPr>
                <w:szCs w:val="21"/>
              </w:rPr>
            </w:pPr>
            <w:r>
              <w:rPr>
                <w:rFonts w:hint="eastAsia"/>
                <w:szCs w:val="21"/>
              </w:rPr>
              <w:t>2.4</w:t>
            </w:r>
          </w:p>
        </w:tc>
        <w:tc>
          <w:tcPr>
            <w:tcW w:w="2356" w:type="dxa"/>
            <w:tcBorders>
              <w:top w:val="single" w:color="auto" w:sz="4" w:space="0"/>
              <w:left w:val="single" w:color="auto" w:sz="4" w:space="0"/>
              <w:bottom w:val="single" w:color="auto" w:sz="4" w:space="0"/>
              <w:right w:val="single" w:color="auto" w:sz="4" w:space="0"/>
            </w:tcBorders>
            <w:vAlign w:val="center"/>
          </w:tcPr>
          <w:p w14:paraId="7BF27A34">
            <w:pPr>
              <w:spacing w:line="360" w:lineRule="exact"/>
              <w:jc w:val="center"/>
            </w:pPr>
            <w:r>
              <w:rPr>
                <w:rFonts w:hint="eastAsia"/>
              </w:rPr>
              <w:t>评标方法</w:t>
            </w:r>
          </w:p>
        </w:tc>
        <w:tc>
          <w:tcPr>
            <w:tcW w:w="5982" w:type="dxa"/>
            <w:tcBorders>
              <w:top w:val="single" w:color="auto" w:sz="4" w:space="0"/>
              <w:left w:val="single" w:color="auto" w:sz="4" w:space="0"/>
              <w:bottom w:val="single" w:color="auto" w:sz="4" w:space="0"/>
              <w:right w:val="single" w:color="auto" w:sz="4" w:space="0"/>
            </w:tcBorders>
            <w:vAlign w:val="center"/>
          </w:tcPr>
          <w:p w14:paraId="2AE9830D">
            <w:pPr>
              <w:spacing w:line="360" w:lineRule="exact"/>
            </w:pPr>
            <w:r>
              <w:rPr>
                <w:rFonts w:hint="eastAsia"/>
              </w:rPr>
              <w:t>综合评估法</w:t>
            </w:r>
          </w:p>
        </w:tc>
      </w:tr>
      <w:tr w14:paraId="5CE0BD1D">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54C4A060">
            <w:pPr>
              <w:spacing w:line="360" w:lineRule="exact"/>
              <w:jc w:val="center"/>
            </w:pPr>
            <w:r>
              <w:t>3.3.1</w:t>
            </w:r>
          </w:p>
        </w:tc>
        <w:tc>
          <w:tcPr>
            <w:tcW w:w="2356" w:type="dxa"/>
            <w:tcBorders>
              <w:top w:val="single" w:color="auto" w:sz="4" w:space="0"/>
              <w:left w:val="single" w:color="auto" w:sz="4" w:space="0"/>
              <w:bottom w:val="single" w:color="auto" w:sz="4" w:space="0"/>
              <w:right w:val="single" w:color="auto" w:sz="4" w:space="0"/>
            </w:tcBorders>
            <w:vAlign w:val="center"/>
          </w:tcPr>
          <w:p w14:paraId="1E67E0E2">
            <w:pPr>
              <w:spacing w:line="360" w:lineRule="exact"/>
              <w:jc w:val="center"/>
            </w:pPr>
            <w:r>
              <w:t>投标有效期</w:t>
            </w:r>
          </w:p>
        </w:tc>
        <w:tc>
          <w:tcPr>
            <w:tcW w:w="5982" w:type="dxa"/>
            <w:tcBorders>
              <w:top w:val="single" w:color="auto" w:sz="4" w:space="0"/>
              <w:left w:val="single" w:color="auto" w:sz="4" w:space="0"/>
              <w:bottom w:val="single" w:color="auto" w:sz="4" w:space="0"/>
              <w:right w:val="single" w:color="auto" w:sz="4" w:space="0"/>
            </w:tcBorders>
            <w:vAlign w:val="center"/>
          </w:tcPr>
          <w:p w14:paraId="67D0A15F">
            <w:pPr>
              <w:spacing w:line="360" w:lineRule="exact"/>
            </w:pPr>
            <w:r>
              <w:t xml:space="preserve">投标截止日起 </w:t>
            </w:r>
            <w:r>
              <w:rPr>
                <w:rFonts w:hint="eastAsia"/>
              </w:rPr>
              <w:t>6</w:t>
            </w:r>
            <w:r>
              <w:t>0 日</w:t>
            </w:r>
          </w:p>
        </w:tc>
      </w:tr>
      <w:tr w14:paraId="536CDD11">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01BFC41E">
            <w:pPr>
              <w:spacing w:line="360" w:lineRule="exact"/>
              <w:jc w:val="center"/>
            </w:pPr>
            <w:r>
              <w:t>3.</w:t>
            </w:r>
            <w:r>
              <w:rPr>
                <w:rFonts w:hint="eastAsia"/>
              </w:rPr>
              <w:t>5</w:t>
            </w:r>
            <w:r>
              <w:t>.3</w:t>
            </w:r>
          </w:p>
        </w:tc>
        <w:tc>
          <w:tcPr>
            <w:tcW w:w="2356" w:type="dxa"/>
            <w:tcBorders>
              <w:top w:val="single" w:color="auto" w:sz="4" w:space="0"/>
              <w:left w:val="single" w:color="auto" w:sz="4" w:space="0"/>
              <w:bottom w:val="single" w:color="auto" w:sz="4" w:space="0"/>
              <w:right w:val="single" w:color="auto" w:sz="4" w:space="0"/>
            </w:tcBorders>
            <w:vAlign w:val="center"/>
          </w:tcPr>
          <w:p w14:paraId="5B30EECB">
            <w:pPr>
              <w:spacing w:line="360" w:lineRule="exact"/>
              <w:jc w:val="center"/>
            </w:pPr>
            <w:r>
              <w:t>签字或盖章要求</w:t>
            </w:r>
          </w:p>
        </w:tc>
        <w:tc>
          <w:tcPr>
            <w:tcW w:w="5982" w:type="dxa"/>
            <w:tcBorders>
              <w:top w:val="single" w:color="auto" w:sz="4" w:space="0"/>
              <w:left w:val="single" w:color="auto" w:sz="4" w:space="0"/>
              <w:bottom w:val="single" w:color="auto" w:sz="4" w:space="0"/>
              <w:right w:val="single" w:color="auto" w:sz="4" w:space="0"/>
            </w:tcBorders>
            <w:vAlign w:val="center"/>
          </w:tcPr>
          <w:p w14:paraId="0689C288">
            <w:pPr>
              <w:spacing w:line="360" w:lineRule="exact"/>
            </w:pPr>
            <w:r>
              <w:t>按投标文件格式要求</w:t>
            </w:r>
          </w:p>
        </w:tc>
      </w:tr>
      <w:tr w14:paraId="42793CCF">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65F25778">
            <w:pPr>
              <w:spacing w:line="360" w:lineRule="exact"/>
              <w:jc w:val="center"/>
            </w:pPr>
            <w:r>
              <w:t>3.</w:t>
            </w:r>
            <w:r>
              <w:rPr>
                <w:rFonts w:hint="eastAsia"/>
              </w:rPr>
              <w:t>5</w:t>
            </w:r>
            <w:r>
              <w:t>.4</w:t>
            </w:r>
          </w:p>
        </w:tc>
        <w:tc>
          <w:tcPr>
            <w:tcW w:w="2356" w:type="dxa"/>
            <w:tcBorders>
              <w:top w:val="single" w:color="auto" w:sz="4" w:space="0"/>
              <w:left w:val="single" w:color="auto" w:sz="4" w:space="0"/>
              <w:bottom w:val="single" w:color="auto" w:sz="4" w:space="0"/>
              <w:right w:val="single" w:color="auto" w:sz="4" w:space="0"/>
            </w:tcBorders>
            <w:vAlign w:val="center"/>
          </w:tcPr>
          <w:p w14:paraId="08F3A563">
            <w:pPr>
              <w:spacing w:line="360" w:lineRule="exact"/>
              <w:jc w:val="center"/>
            </w:pPr>
            <w:r>
              <w:rPr>
                <w:spacing w:val="-11"/>
              </w:rPr>
              <w:t>投标文件份数</w:t>
            </w:r>
          </w:p>
        </w:tc>
        <w:tc>
          <w:tcPr>
            <w:tcW w:w="5982" w:type="dxa"/>
            <w:tcBorders>
              <w:top w:val="single" w:color="auto" w:sz="4" w:space="0"/>
              <w:left w:val="single" w:color="auto" w:sz="4" w:space="0"/>
              <w:bottom w:val="single" w:color="auto" w:sz="4" w:space="0"/>
              <w:right w:val="single" w:color="auto" w:sz="4" w:space="0"/>
            </w:tcBorders>
            <w:vAlign w:val="center"/>
          </w:tcPr>
          <w:p w14:paraId="1126F334">
            <w:pPr>
              <w:spacing w:line="360" w:lineRule="exact"/>
            </w:pPr>
            <w:r>
              <w:rPr>
                <w:rFonts w:hint="eastAsia"/>
                <w:b/>
                <w:bCs/>
                <w:szCs w:val="21"/>
              </w:rPr>
              <w:t>本项目采用不见面开标交易模式</w:t>
            </w:r>
          </w:p>
        </w:tc>
      </w:tr>
      <w:tr w14:paraId="17428EED">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0406BD9E">
            <w:pPr>
              <w:spacing w:line="360" w:lineRule="exact"/>
              <w:jc w:val="center"/>
            </w:pPr>
            <w:r>
              <w:t>3.</w:t>
            </w:r>
            <w:r>
              <w:rPr>
                <w:rFonts w:hint="eastAsia"/>
              </w:rPr>
              <w:t>5</w:t>
            </w:r>
            <w:r>
              <w:t>.5</w:t>
            </w:r>
          </w:p>
        </w:tc>
        <w:tc>
          <w:tcPr>
            <w:tcW w:w="2356" w:type="dxa"/>
            <w:tcBorders>
              <w:top w:val="single" w:color="auto" w:sz="4" w:space="0"/>
              <w:left w:val="single" w:color="auto" w:sz="4" w:space="0"/>
              <w:bottom w:val="single" w:color="auto" w:sz="4" w:space="0"/>
              <w:right w:val="single" w:color="auto" w:sz="4" w:space="0"/>
            </w:tcBorders>
            <w:vAlign w:val="center"/>
          </w:tcPr>
          <w:p w14:paraId="73D54898">
            <w:pPr>
              <w:spacing w:line="360" w:lineRule="exact"/>
              <w:jc w:val="center"/>
            </w:pPr>
            <w:r>
              <w:t>装订要求</w:t>
            </w:r>
          </w:p>
        </w:tc>
        <w:tc>
          <w:tcPr>
            <w:tcW w:w="5982" w:type="dxa"/>
            <w:tcBorders>
              <w:top w:val="single" w:color="auto" w:sz="4" w:space="0"/>
              <w:left w:val="single" w:color="auto" w:sz="4" w:space="0"/>
              <w:bottom w:val="single" w:color="auto" w:sz="4" w:space="0"/>
              <w:right w:val="single" w:color="auto" w:sz="4" w:space="0"/>
            </w:tcBorders>
            <w:vAlign w:val="center"/>
          </w:tcPr>
          <w:p w14:paraId="14EE061A">
            <w:pPr>
              <w:spacing w:line="360" w:lineRule="exact"/>
            </w:pPr>
            <w:r>
              <w:rPr>
                <w:rFonts w:hint="eastAsia"/>
                <w:b/>
              </w:rPr>
              <w:t>/</w:t>
            </w:r>
          </w:p>
        </w:tc>
      </w:tr>
      <w:tr w14:paraId="7E5AD90D">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1583DF1B">
            <w:pPr>
              <w:spacing w:line="360" w:lineRule="exact"/>
              <w:jc w:val="center"/>
            </w:pPr>
            <w:r>
              <w:t>4.2.1</w:t>
            </w:r>
          </w:p>
          <w:p w14:paraId="31AAE6EB">
            <w:pPr>
              <w:spacing w:line="360" w:lineRule="exact"/>
              <w:jc w:val="center"/>
            </w:pPr>
            <w:r>
              <w:t>4.2.2</w:t>
            </w:r>
          </w:p>
        </w:tc>
        <w:tc>
          <w:tcPr>
            <w:tcW w:w="2356" w:type="dxa"/>
            <w:tcBorders>
              <w:top w:val="single" w:color="auto" w:sz="4" w:space="0"/>
              <w:left w:val="single" w:color="auto" w:sz="4" w:space="0"/>
              <w:bottom w:val="single" w:color="auto" w:sz="4" w:space="0"/>
              <w:right w:val="single" w:color="auto" w:sz="4" w:space="0"/>
            </w:tcBorders>
            <w:vAlign w:val="center"/>
          </w:tcPr>
          <w:p w14:paraId="293CC7BC">
            <w:pPr>
              <w:spacing w:line="360" w:lineRule="exact"/>
              <w:jc w:val="center"/>
              <w:rPr>
                <w:spacing w:val="-11"/>
              </w:rPr>
            </w:pPr>
            <w:r>
              <w:rPr>
                <w:snapToGrid w:val="0"/>
                <w:spacing w:val="-11"/>
              </w:rPr>
              <w:t>投标文件递交截止时间</w:t>
            </w:r>
            <w:r>
              <w:rPr>
                <w:b/>
                <w:snapToGrid w:val="0"/>
                <w:spacing w:val="-11"/>
              </w:rPr>
              <w:t>（投标截止时间）</w:t>
            </w:r>
            <w:r>
              <w:rPr>
                <w:snapToGrid w:val="0"/>
                <w:spacing w:val="-11"/>
              </w:rPr>
              <w:t>和地点</w:t>
            </w:r>
          </w:p>
        </w:tc>
        <w:tc>
          <w:tcPr>
            <w:tcW w:w="5982" w:type="dxa"/>
            <w:tcBorders>
              <w:top w:val="single" w:color="auto" w:sz="4" w:space="0"/>
              <w:left w:val="single" w:color="auto" w:sz="4" w:space="0"/>
              <w:bottom w:val="single" w:color="auto" w:sz="4" w:space="0"/>
              <w:right w:val="single" w:color="auto" w:sz="4" w:space="0"/>
            </w:tcBorders>
            <w:vAlign w:val="center"/>
          </w:tcPr>
          <w:p w14:paraId="27670CBF">
            <w:pPr>
              <w:spacing w:line="360" w:lineRule="exact"/>
              <w:rPr>
                <w:b/>
              </w:rPr>
            </w:pPr>
            <w:r>
              <w:rPr>
                <w:rFonts w:hint="eastAsia"/>
                <w:b/>
                <w:bCs/>
                <w:szCs w:val="21"/>
              </w:rPr>
              <w:t>本项目采用不见面开标交易模式</w:t>
            </w:r>
          </w:p>
        </w:tc>
      </w:tr>
      <w:tr w14:paraId="1E0259DE">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4F709A2F">
            <w:pPr>
              <w:spacing w:line="360" w:lineRule="exact"/>
              <w:jc w:val="center"/>
            </w:pPr>
            <w:r>
              <w:t>4.2.3</w:t>
            </w:r>
          </w:p>
        </w:tc>
        <w:tc>
          <w:tcPr>
            <w:tcW w:w="2356" w:type="dxa"/>
            <w:tcBorders>
              <w:top w:val="single" w:color="auto" w:sz="4" w:space="0"/>
              <w:left w:val="single" w:color="auto" w:sz="4" w:space="0"/>
              <w:bottom w:val="single" w:color="auto" w:sz="4" w:space="0"/>
              <w:right w:val="single" w:color="auto" w:sz="4" w:space="0"/>
            </w:tcBorders>
            <w:vAlign w:val="center"/>
          </w:tcPr>
          <w:p w14:paraId="5623E539">
            <w:pPr>
              <w:spacing w:line="360" w:lineRule="exact"/>
              <w:jc w:val="center"/>
            </w:pPr>
            <w:r>
              <w:rPr>
                <w:spacing w:val="-11"/>
              </w:rPr>
              <w:t>是否退还投标文件</w:t>
            </w:r>
          </w:p>
        </w:tc>
        <w:tc>
          <w:tcPr>
            <w:tcW w:w="5982" w:type="dxa"/>
            <w:tcBorders>
              <w:top w:val="single" w:color="auto" w:sz="4" w:space="0"/>
              <w:left w:val="single" w:color="auto" w:sz="4" w:space="0"/>
              <w:bottom w:val="single" w:color="auto" w:sz="4" w:space="0"/>
              <w:right w:val="single" w:color="auto" w:sz="4" w:space="0"/>
            </w:tcBorders>
            <w:vAlign w:val="center"/>
          </w:tcPr>
          <w:p w14:paraId="1BE70F2B">
            <w:pPr>
              <w:pStyle w:val="13"/>
              <w:snapToGrid/>
              <w:spacing w:line="360" w:lineRule="exact"/>
              <w:ind w:firstLine="0" w:firstLineChars="0"/>
            </w:pPr>
            <w:r>
              <w:rPr>
                <w:rFonts w:ascii="Times New Roman"/>
                <w:szCs w:val="24"/>
              </w:rPr>
              <w:t>否</w:t>
            </w:r>
          </w:p>
        </w:tc>
      </w:tr>
      <w:tr w14:paraId="2DD43E4F">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2501020F">
            <w:pPr>
              <w:spacing w:line="360" w:lineRule="exact"/>
              <w:jc w:val="center"/>
            </w:pPr>
            <w:r>
              <w:t>5.1</w:t>
            </w:r>
          </w:p>
        </w:tc>
        <w:tc>
          <w:tcPr>
            <w:tcW w:w="2356" w:type="dxa"/>
            <w:tcBorders>
              <w:top w:val="single" w:color="auto" w:sz="4" w:space="0"/>
              <w:left w:val="single" w:color="auto" w:sz="4" w:space="0"/>
              <w:bottom w:val="single" w:color="auto" w:sz="4" w:space="0"/>
              <w:right w:val="single" w:color="auto" w:sz="4" w:space="0"/>
            </w:tcBorders>
            <w:vAlign w:val="center"/>
          </w:tcPr>
          <w:p w14:paraId="64D54D8C">
            <w:pPr>
              <w:spacing w:line="360" w:lineRule="exact"/>
              <w:jc w:val="center"/>
            </w:pPr>
            <w:r>
              <w:t>开标时间和地点</w:t>
            </w:r>
          </w:p>
        </w:tc>
        <w:tc>
          <w:tcPr>
            <w:tcW w:w="5982" w:type="dxa"/>
            <w:tcBorders>
              <w:top w:val="single" w:color="auto" w:sz="4" w:space="0"/>
              <w:left w:val="single" w:color="auto" w:sz="4" w:space="0"/>
              <w:bottom w:val="single" w:color="auto" w:sz="4" w:space="0"/>
              <w:right w:val="single" w:color="auto" w:sz="4" w:space="0"/>
            </w:tcBorders>
            <w:vAlign w:val="center"/>
          </w:tcPr>
          <w:p w14:paraId="4170CA94">
            <w:pPr>
              <w:pStyle w:val="4"/>
              <w:wordWrap/>
              <w:ind w:firstLine="0" w:firstLineChars="0"/>
            </w:pPr>
            <w:r>
              <w:rPr>
                <w:b w:val="0"/>
                <w:bCs w:val="0"/>
                <w:highlight w:val="none"/>
              </w:rPr>
              <w:t>时间：</w:t>
            </w:r>
            <w:r>
              <w:rPr>
                <w:rFonts w:hint="eastAsia"/>
                <w:b w:val="0"/>
                <w:bCs w:val="0"/>
                <w:highlight w:val="none"/>
                <w:u w:val="single"/>
              </w:rPr>
              <w:t xml:space="preserve">投标截止时间当天2026年10月 </w:t>
            </w:r>
            <w:r>
              <w:rPr>
                <w:rFonts w:hint="eastAsia"/>
                <w:b w:val="0"/>
                <w:bCs w:val="0"/>
                <w:highlight w:val="none"/>
                <w:u w:val="single"/>
                <w:lang w:val="en-US" w:eastAsia="zh-CN"/>
              </w:rPr>
              <w:t>29</w:t>
            </w:r>
            <w:r>
              <w:rPr>
                <w:rFonts w:hint="eastAsia"/>
                <w:b w:val="0"/>
                <w:bCs w:val="0"/>
                <w:highlight w:val="none"/>
                <w:u w:val="single"/>
              </w:rPr>
              <w:t>日上午09时30分</w:t>
            </w:r>
            <w:r>
              <w:rPr>
                <w:rFonts w:hint="eastAsia" w:eastAsiaTheme="minorEastAsia"/>
                <w:highlight w:val="none"/>
              </w:rPr>
              <w:t>；</w:t>
            </w:r>
          </w:p>
        </w:tc>
      </w:tr>
      <w:tr w14:paraId="4E3DBB89">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51D0417A">
            <w:pPr>
              <w:spacing w:line="360" w:lineRule="exact"/>
              <w:jc w:val="center"/>
            </w:pPr>
            <w:r>
              <w:rPr>
                <w:rFonts w:hint="eastAsia"/>
              </w:rPr>
              <w:t>6</w:t>
            </w:r>
            <w:r>
              <w:t>.1</w:t>
            </w:r>
          </w:p>
        </w:tc>
        <w:tc>
          <w:tcPr>
            <w:tcW w:w="2356" w:type="dxa"/>
            <w:tcBorders>
              <w:top w:val="single" w:color="auto" w:sz="4" w:space="0"/>
              <w:left w:val="single" w:color="auto" w:sz="4" w:space="0"/>
              <w:bottom w:val="single" w:color="auto" w:sz="4" w:space="0"/>
              <w:right w:val="single" w:color="auto" w:sz="4" w:space="0"/>
            </w:tcBorders>
            <w:vAlign w:val="center"/>
          </w:tcPr>
          <w:p w14:paraId="4D3D0D2F">
            <w:pPr>
              <w:spacing w:line="360" w:lineRule="exact"/>
              <w:jc w:val="center"/>
            </w:pPr>
            <w:r>
              <w:t>是否授权评标委员会确定中标人</w:t>
            </w:r>
          </w:p>
        </w:tc>
        <w:tc>
          <w:tcPr>
            <w:tcW w:w="5982" w:type="dxa"/>
            <w:tcBorders>
              <w:top w:val="single" w:color="auto" w:sz="4" w:space="0"/>
              <w:left w:val="single" w:color="auto" w:sz="4" w:space="0"/>
              <w:bottom w:val="single" w:color="auto" w:sz="4" w:space="0"/>
              <w:right w:val="single" w:color="auto" w:sz="4" w:space="0"/>
            </w:tcBorders>
            <w:vAlign w:val="center"/>
          </w:tcPr>
          <w:p w14:paraId="2B506320">
            <w:pPr>
              <w:spacing w:line="360" w:lineRule="exact"/>
            </w:pPr>
            <w:r>
              <w:rPr>
                <w:rFonts w:hint="eastAsia"/>
              </w:rPr>
              <w:t>/</w:t>
            </w:r>
            <w:r>
              <w:t xml:space="preserve">                       </w:t>
            </w:r>
          </w:p>
        </w:tc>
      </w:tr>
      <w:tr w14:paraId="46159ACE">
        <w:tblPrEx>
          <w:tblCellMar>
            <w:top w:w="0" w:type="dxa"/>
            <w:left w:w="108" w:type="dxa"/>
            <w:bottom w:w="0" w:type="dxa"/>
            <w:right w:w="108" w:type="dxa"/>
          </w:tblCellMar>
        </w:tblPrEx>
        <w:trPr>
          <w:trHeight w:val="567" w:hRule="atLeast"/>
          <w:jc w:val="center"/>
        </w:trPr>
        <w:tc>
          <w:tcPr>
            <w:tcW w:w="1013" w:type="dxa"/>
            <w:tcBorders>
              <w:top w:val="single" w:color="auto" w:sz="4" w:space="0"/>
              <w:left w:val="single" w:color="auto" w:sz="4" w:space="0"/>
              <w:bottom w:val="single" w:color="auto" w:sz="4" w:space="0"/>
              <w:right w:val="single" w:color="auto" w:sz="4" w:space="0"/>
            </w:tcBorders>
            <w:vAlign w:val="center"/>
          </w:tcPr>
          <w:p w14:paraId="0E82E077">
            <w:pPr>
              <w:spacing w:line="360" w:lineRule="exact"/>
              <w:jc w:val="center"/>
            </w:pPr>
            <w:r>
              <w:rPr>
                <w:b/>
              </w:rPr>
              <w:t>需要补充的其他内容</w:t>
            </w:r>
          </w:p>
        </w:tc>
        <w:tc>
          <w:tcPr>
            <w:tcW w:w="2356" w:type="dxa"/>
            <w:tcBorders>
              <w:top w:val="single" w:color="auto" w:sz="4" w:space="0"/>
              <w:left w:val="single" w:color="auto" w:sz="4" w:space="0"/>
              <w:right w:val="single" w:color="auto" w:sz="4" w:space="0"/>
            </w:tcBorders>
            <w:vAlign w:val="center"/>
          </w:tcPr>
          <w:p w14:paraId="18BD7AFA">
            <w:pPr>
              <w:spacing w:line="360" w:lineRule="exact"/>
              <w:ind w:firstLine="480"/>
            </w:pPr>
          </w:p>
        </w:tc>
        <w:tc>
          <w:tcPr>
            <w:tcW w:w="5982" w:type="dxa"/>
            <w:tcBorders>
              <w:top w:val="single" w:color="auto" w:sz="4" w:space="0"/>
              <w:left w:val="single" w:color="auto" w:sz="4" w:space="0"/>
              <w:right w:val="single" w:color="auto" w:sz="4" w:space="0"/>
            </w:tcBorders>
            <w:vAlign w:val="center"/>
          </w:tcPr>
          <w:p w14:paraId="4E6458DB">
            <w:pPr>
              <w:spacing w:line="360" w:lineRule="exact"/>
              <w:ind w:firstLine="480"/>
            </w:pPr>
          </w:p>
        </w:tc>
      </w:tr>
      <w:tr w14:paraId="48FDB818">
        <w:tblPrEx>
          <w:tblCellMar>
            <w:top w:w="0" w:type="dxa"/>
            <w:left w:w="108" w:type="dxa"/>
            <w:bottom w:w="0" w:type="dxa"/>
            <w:right w:w="108" w:type="dxa"/>
          </w:tblCellMar>
        </w:tblPrEx>
        <w:trPr>
          <w:trHeight w:val="567" w:hRule="atLeast"/>
          <w:jc w:val="center"/>
        </w:trPr>
        <w:tc>
          <w:tcPr>
            <w:tcW w:w="9351" w:type="dxa"/>
            <w:gridSpan w:val="3"/>
            <w:tcBorders>
              <w:top w:val="single" w:color="auto" w:sz="4" w:space="0"/>
              <w:left w:val="single" w:color="auto" w:sz="4" w:space="0"/>
              <w:bottom w:val="single" w:color="auto" w:sz="4" w:space="0"/>
              <w:right w:val="single" w:color="auto" w:sz="4" w:space="0"/>
            </w:tcBorders>
            <w:vAlign w:val="center"/>
          </w:tcPr>
          <w:p w14:paraId="4A039B0E">
            <w:pPr>
              <w:spacing w:line="360" w:lineRule="exact"/>
              <w:ind w:firstLine="480"/>
              <w:rPr>
                <w:rFonts w:eastAsiaTheme="minorEastAsia"/>
              </w:rPr>
            </w:pPr>
            <w:r>
              <w:rPr>
                <w:rFonts w:eastAsiaTheme="minorEastAsia"/>
              </w:rPr>
              <w:t>1、本招标文件时间均以中华人民共和国北京时间为准，所涉及金额的币种均为人民币。</w:t>
            </w:r>
          </w:p>
          <w:p w14:paraId="3542F80D">
            <w:pPr>
              <w:spacing w:line="360" w:lineRule="exact"/>
              <w:ind w:firstLine="480"/>
              <w:rPr>
                <w:rFonts w:eastAsiaTheme="minorEastAsia"/>
              </w:rPr>
            </w:pPr>
            <w:r>
              <w:rPr>
                <w:rFonts w:eastAsiaTheme="minorEastAsia"/>
              </w:rPr>
              <w:t>2、凡参与本项目投标的投标人，视同已踏勘过项目现场和研究了本招标文件的所有内容，并无保留地接受招标文件的所有条款（含招标答疑、补充通知等）。</w:t>
            </w:r>
          </w:p>
          <w:p w14:paraId="3A975FA9">
            <w:pPr>
              <w:spacing w:line="360" w:lineRule="exact"/>
              <w:ind w:firstLine="480"/>
              <w:rPr>
                <w:rFonts w:eastAsiaTheme="minorEastAsia"/>
              </w:rPr>
            </w:pPr>
            <w:r>
              <w:rPr>
                <w:rFonts w:eastAsiaTheme="minorEastAsia"/>
              </w:rPr>
              <w:t>3、本招标文件未尽事宜，按国家和省法律法规、规章要求处理。</w:t>
            </w:r>
          </w:p>
          <w:p w14:paraId="6FFC7340">
            <w:pPr>
              <w:spacing w:line="360" w:lineRule="exact"/>
              <w:ind w:firstLine="480"/>
              <w:rPr>
                <w:b/>
              </w:rPr>
            </w:pPr>
            <w:r>
              <w:rPr>
                <w:rFonts w:eastAsiaTheme="minorEastAsia"/>
              </w:rPr>
              <w:t>4、本招标文件的解释权归招标人所有。</w:t>
            </w:r>
          </w:p>
        </w:tc>
      </w:tr>
    </w:tbl>
    <w:p w14:paraId="794CDC5A">
      <w:pPr>
        <w:ind w:firstLine="420"/>
      </w:pPr>
      <w:bookmarkStart w:id="111" w:name="_Toc511387380"/>
      <w:bookmarkStart w:id="112" w:name="_Toc152042305"/>
      <w:bookmarkStart w:id="113" w:name="_Toc179632546"/>
      <w:bookmarkStart w:id="114" w:name="_Toc247085689"/>
      <w:bookmarkStart w:id="115" w:name="_Toc68108360"/>
      <w:bookmarkStart w:id="116" w:name="_Toc246996175"/>
      <w:bookmarkStart w:id="117" w:name="_Toc246996918"/>
      <w:bookmarkStart w:id="118" w:name="_Toc496096197"/>
      <w:bookmarkStart w:id="119" w:name="_Toc152045529"/>
      <w:bookmarkStart w:id="120" w:name="_Toc25513"/>
      <w:bookmarkStart w:id="121" w:name="_Toc144974497"/>
    </w:p>
    <w:p w14:paraId="3703087A">
      <w:pPr>
        <w:ind w:firstLine="420"/>
      </w:pPr>
    </w:p>
    <w:p w14:paraId="1A1FF55B">
      <w:pPr>
        <w:ind w:firstLine="420"/>
      </w:pPr>
    </w:p>
    <w:p w14:paraId="26E7A793">
      <w:pPr>
        <w:ind w:firstLine="420"/>
      </w:pPr>
    </w:p>
    <w:p w14:paraId="38DE515A">
      <w:pPr>
        <w:ind w:firstLine="420"/>
      </w:pPr>
    </w:p>
    <w:p w14:paraId="5C1F3DB1">
      <w:pPr>
        <w:ind w:firstLine="420"/>
      </w:pPr>
    </w:p>
    <w:p w14:paraId="12BA177F">
      <w:pPr>
        <w:ind w:firstLine="420"/>
      </w:pPr>
    </w:p>
    <w:p w14:paraId="09516330">
      <w:pPr>
        <w:ind w:firstLine="420"/>
      </w:pPr>
    </w:p>
    <w:p w14:paraId="09EB9ABB">
      <w:pPr>
        <w:ind w:firstLine="420"/>
      </w:pPr>
    </w:p>
    <w:p w14:paraId="07F5E3AE">
      <w:pPr>
        <w:ind w:firstLine="420"/>
      </w:pPr>
    </w:p>
    <w:p w14:paraId="1FE86058">
      <w:pPr>
        <w:ind w:firstLine="420"/>
      </w:pPr>
    </w:p>
    <w:p w14:paraId="2EB52350">
      <w:pPr>
        <w:ind w:firstLine="420"/>
      </w:pPr>
    </w:p>
    <w:p w14:paraId="1225EF61">
      <w:pPr>
        <w:ind w:firstLine="420"/>
      </w:pPr>
    </w:p>
    <w:p w14:paraId="00335763">
      <w:pPr>
        <w:ind w:firstLine="420"/>
      </w:pPr>
    </w:p>
    <w:p w14:paraId="5F6A4A89">
      <w:pPr>
        <w:ind w:firstLine="420"/>
      </w:pPr>
    </w:p>
    <w:p w14:paraId="6CCAD4A2">
      <w:pPr>
        <w:ind w:firstLine="420"/>
      </w:pPr>
    </w:p>
    <w:p w14:paraId="52E85344">
      <w:pPr>
        <w:ind w:firstLine="420"/>
      </w:pPr>
    </w:p>
    <w:p w14:paraId="1B9B8280">
      <w:pPr>
        <w:ind w:firstLine="420"/>
      </w:pPr>
    </w:p>
    <w:p w14:paraId="503CE33F">
      <w:pPr>
        <w:ind w:firstLine="420"/>
      </w:pPr>
    </w:p>
    <w:p w14:paraId="5133157F">
      <w:pPr>
        <w:ind w:firstLine="420"/>
      </w:pPr>
    </w:p>
    <w:bookmarkEnd w:id="111"/>
    <w:bookmarkEnd w:id="112"/>
    <w:bookmarkEnd w:id="113"/>
    <w:bookmarkEnd w:id="114"/>
    <w:bookmarkEnd w:id="115"/>
    <w:bookmarkEnd w:id="116"/>
    <w:bookmarkEnd w:id="117"/>
    <w:bookmarkEnd w:id="118"/>
    <w:bookmarkEnd w:id="119"/>
    <w:bookmarkEnd w:id="120"/>
    <w:bookmarkEnd w:id="121"/>
    <w:p w14:paraId="3E394AA2">
      <w:pPr>
        <w:spacing w:line="360" w:lineRule="exact"/>
        <w:ind w:firstLine="480"/>
        <w:rPr>
          <w:rFonts w:hint="eastAsia" w:eastAsiaTheme="minorEastAsia"/>
        </w:rPr>
      </w:pPr>
      <w:bookmarkStart w:id="122" w:name="_Toc28204"/>
      <w:bookmarkStart w:id="123" w:name="_Toc68108409"/>
    </w:p>
    <w:p w14:paraId="794410CE">
      <w:pPr>
        <w:spacing w:line="360" w:lineRule="exact"/>
        <w:ind w:firstLine="480"/>
        <w:rPr>
          <w:rFonts w:eastAsiaTheme="minorEastAsia"/>
        </w:rPr>
      </w:pPr>
      <w:r>
        <w:rPr>
          <w:rFonts w:hint="eastAsia" w:eastAsiaTheme="minorEastAsia"/>
        </w:rPr>
        <w:t>1.总则</w:t>
      </w:r>
    </w:p>
    <w:p w14:paraId="130FAD3B">
      <w:pPr>
        <w:spacing w:line="360" w:lineRule="exact"/>
        <w:ind w:firstLine="480"/>
        <w:rPr>
          <w:rFonts w:eastAsiaTheme="minorEastAsia"/>
        </w:rPr>
      </w:pPr>
      <w:bookmarkStart w:id="124" w:name="_Toc453091536"/>
      <w:bookmarkEnd w:id="124"/>
      <w:bookmarkStart w:id="125" w:name="_Toc387526180"/>
      <w:bookmarkEnd w:id="125"/>
      <w:bookmarkStart w:id="126" w:name="_Toc387526376"/>
      <w:bookmarkEnd w:id="126"/>
      <w:bookmarkStart w:id="127" w:name="_Toc387526284"/>
      <w:bookmarkEnd w:id="127"/>
      <w:bookmarkStart w:id="128" w:name="_Toc5365"/>
      <w:bookmarkEnd w:id="128"/>
      <w:r>
        <w:rPr>
          <w:rFonts w:hint="eastAsia" w:eastAsiaTheme="minorEastAsia"/>
        </w:rPr>
        <w:t>1.1 项目概况</w:t>
      </w:r>
    </w:p>
    <w:p w14:paraId="0C8C68D5">
      <w:pPr>
        <w:spacing w:line="360" w:lineRule="exact"/>
        <w:ind w:firstLine="480"/>
        <w:rPr>
          <w:rFonts w:eastAsiaTheme="minorEastAsia"/>
        </w:rPr>
      </w:pPr>
      <w:r>
        <w:rPr>
          <w:rFonts w:hint="eastAsia" w:eastAsiaTheme="minorEastAsia"/>
        </w:rPr>
        <w:t>1.1.1根据有关法律、法规和规章的规定，本招标项目已具备招标条件，现对本项目进行招标。</w:t>
      </w:r>
    </w:p>
    <w:p w14:paraId="0D8ACD76">
      <w:pPr>
        <w:spacing w:line="360" w:lineRule="exact"/>
        <w:ind w:firstLine="480"/>
        <w:rPr>
          <w:rFonts w:eastAsiaTheme="minorEastAsia"/>
        </w:rPr>
      </w:pPr>
      <w:r>
        <w:rPr>
          <w:rFonts w:hint="eastAsia" w:eastAsiaTheme="minorEastAsia"/>
        </w:rPr>
        <w:t>1.1.2本招标项目招标人：见投标人须知前附表。</w:t>
      </w:r>
    </w:p>
    <w:p w14:paraId="07D265ED">
      <w:pPr>
        <w:spacing w:line="360" w:lineRule="exact"/>
        <w:ind w:firstLine="480"/>
        <w:rPr>
          <w:rFonts w:eastAsiaTheme="minorEastAsia"/>
        </w:rPr>
      </w:pPr>
      <w:r>
        <w:rPr>
          <w:rFonts w:hint="eastAsia" w:eastAsiaTheme="minorEastAsia"/>
        </w:rPr>
        <w:t>1.1.3本招标项目招标代理机构：见投标人须知前附表。</w:t>
      </w:r>
    </w:p>
    <w:p w14:paraId="6ED27206">
      <w:pPr>
        <w:spacing w:line="360" w:lineRule="exact"/>
        <w:ind w:firstLine="480"/>
        <w:rPr>
          <w:rFonts w:eastAsiaTheme="minorEastAsia"/>
        </w:rPr>
      </w:pPr>
      <w:r>
        <w:rPr>
          <w:rFonts w:hint="eastAsia" w:eastAsiaTheme="minorEastAsia"/>
        </w:rPr>
        <w:t>1.1.4本招标项目名称：见投标人须知前附表。</w:t>
      </w:r>
    </w:p>
    <w:p w14:paraId="055D87D6">
      <w:pPr>
        <w:spacing w:line="360" w:lineRule="exact"/>
        <w:ind w:firstLine="480"/>
        <w:rPr>
          <w:rFonts w:eastAsiaTheme="minorEastAsia"/>
        </w:rPr>
      </w:pPr>
      <w:bookmarkStart w:id="129" w:name="_Toc387526377"/>
      <w:bookmarkEnd w:id="129"/>
      <w:bookmarkStart w:id="130" w:name="_Toc453091537"/>
      <w:bookmarkEnd w:id="130"/>
      <w:bookmarkStart w:id="131" w:name="_Toc11796"/>
      <w:bookmarkEnd w:id="131"/>
      <w:bookmarkStart w:id="132" w:name="_Toc387526285"/>
      <w:bookmarkEnd w:id="132"/>
      <w:bookmarkStart w:id="133" w:name="_Toc387526181"/>
      <w:bookmarkEnd w:id="133"/>
      <w:r>
        <w:rPr>
          <w:rFonts w:hint="eastAsia" w:eastAsiaTheme="minorEastAsia"/>
        </w:rPr>
        <w:t>1.2 资金来源和落实情况</w:t>
      </w:r>
    </w:p>
    <w:p w14:paraId="69A8CC7C">
      <w:pPr>
        <w:spacing w:line="360" w:lineRule="exact"/>
        <w:ind w:firstLine="480"/>
        <w:rPr>
          <w:rFonts w:eastAsiaTheme="minorEastAsia"/>
        </w:rPr>
      </w:pPr>
      <w:r>
        <w:rPr>
          <w:rFonts w:hint="eastAsia" w:eastAsiaTheme="minorEastAsia"/>
        </w:rPr>
        <w:t>1.2.1本招标项目的资金来源：见投标人须知前附表。</w:t>
      </w:r>
    </w:p>
    <w:p w14:paraId="2CC3EF63">
      <w:pPr>
        <w:spacing w:line="360" w:lineRule="exact"/>
        <w:ind w:firstLine="480"/>
        <w:rPr>
          <w:rFonts w:eastAsiaTheme="minorEastAsia"/>
        </w:rPr>
      </w:pPr>
      <w:r>
        <w:rPr>
          <w:rFonts w:hint="eastAsia" w:eastAsiaTheme="minorEastAsia"/>
        </w:rPr>
        <w:t>1.2.2本招标项目的出资比例：见投标人须知前附表。</w:t>
      </w:r>
    </w:p>
    <w:p w14:paraId="448F2FE5">
      <w:pPr>
        <w:spacing w:line="360" w:lineRule="exact"/>
        <w:ind w:firstLine="480"/>
        <w:rPr>
          <w:rFonts w:eastAsiaTheme="minorEastAsia"/>
        </w:rPr>
      </w:pPr>
      <w:r>
        <w:rPr>
          <w:rFonts w:hint="eastAsia" w:eastAsiaTheme="minorEastAsia"/>
        </w:rPr>
        <w:t>1.2.3本招标项目的资金落实情况：见投标人须知前附表。</w:t>
      </w:r>
    </w:p>
    <w:p w14:paraId="6513E37B">
      <w:pPr>
        <w:spacing w:line="360" w:lineRule="exact"/>
        <w:ind w:firstLine="480"/>
        <w:rPr>
          <w:rFonts w:eastAsiaTheme="minorEastAsia"/>
        </w:rPr>
      </w:pPr>
      <w:bookmarkStart w:id="134" w:name="_Toc387526182"/>
      <w:bookmarkEnd w:id="134"/>
      <w:bookmarkStart w:id="135" w:name="_Toc387526286"/>
      <w:bookmarkEnd w:id="135"/>
      <w:bookmarkStart w:id="136" w:name="_Toc453091538"/>
      <w:bookmarkEnd w:id="136"/>
      <w:bookmarkStart w:id="137" w:name="_Toc853"/>
      <w:bookmarkEnd w:id="137"/>
      <w:bookmarkStart w:id="138" w:name="_Toc387526378"/>
      <w:bookmarkEnd w:id="138"/>
      <w:r>
        <w:rPr>
          <w:rFonts w:hint="eastAsia" w:eastAsiaTheme="minorEastAsia"/>
        </w:rPr>
        <w:t>1.3 招标范围、服务期和质量要求</w:t>
      </w:r>
    </w:p>
    <w:p w14:paraId="292DB573">
      <w:pPr>
        <w:spacing w:line="360" w:lineRule="exact"/>
        <w:ind w:firstLine="480"/>
        <w:rPr>
          <w:rFonts w:eastAsiaTheme="minorEastAsia"/>
        </w:rPr>
      </w:pPr>
      <w:r>
        <w:rPr>
          <w:rFonts w:hint="eastAsia" w:eastAsiaTheme="minorEastAsia"/>
        </w:rPr>
        <w:t>1.3.1本次招标范围：见投标人须知前附表。</w:t>
      </w:r>
    </w:p>
    <w:p w14:paraId="68B1C5E8">
      <w:pPr>
        <w:spacing w:line="360" w:lineRule="exact"/>
        <w:ind w:firstLine="480"/>
        <w:rPr>
          <w:rFonts w:eastAsiaTheme="minorEastAsia"/>
        </w:rPr>
      </w:pPr>
      <w:r>
        <w:rPr>
          <w:rFonts w:hint="eastAsia" w:eastAsiaTheme="minorEastAsia"/>
        </w:rPr>
        <w:t>1.3.2本招标项目的服务期：见投标人须知前附表。</w:t>
      </w:r>
    </w:p>
    <w:p w14:paraId="7D69BA22">
      <w:pPr>
        <w:spacing w:line="360" w:lineRule="exact"/>
        <w:ind w:firstLine="480"/>
        <w:rPr>
          <w:rFonts w:eastAsiaTheme="minorEastAsia"/>
        </w:rPr>
      </w:pPr>
      <w:r>
        <w:rPr>
          <w:rFonts w:hint="eastAsia" w:eastAsiaTheme="minorEastAsia"/>
        </w:rPr>
        <w:t>1.3.3本招标项目的建设地点：见投标人须知前附表。</w:t>
      </w:r>
    </w:p>
    <w:p w14:paraId="10DB47B4">
      <w:pPr>
        <w:spacing w:line="360" w:lineRule="exact"/>
        <w:ind w:firstLine="480"/>
        <w:rPr>
          <w:rFonts w:eastAsiaTheme="minorEastAsia"/>
        </w:rPr>
      </w:pPr>
      <w:r>
        <w:rPr>
          <w:rFonts w:hint="eastAsia" w:eastAsiaTheme="minorEastAsia"/>
        </w:rPr>
        <w:t>1.3.4本招标项目的质量要求及验收标准：见投标人须知前附表。</w:t>
      </w:r>
    </w:p>
    <w:p w14:paraId="4D065E15">
      <w:pPr>
        <w:spacing w:line="360" w:lineRule="exact"/>
        <w:ind w:firstLine="480"/>
        <w:rPr>
          <w:rFonts w:eastAsiaTheme="minorEastAsia"/>
        </w:rPr>
      </w:pPr>
      <w:bookmarkStart w:id="139" w:name="_Toc453091539"/>
      <w:bookmarkEnd w:id="139"/>
      <w:bookmarkStart w:id="140" w:name="_Toc13930"/>
      <w:bookmarkEnd w:id="140"/>
      <w:bookmarkStart w:id="141" w:name="_Toc387526379"/>
      <w:bookmarkEnd w:id="141"/>
      <w:bookmarkStart w:id="142" w:name="_Toc387526183"/>
      <w:bookmarkEnd w:id="142"/>
      <w:bookmarkStart w:id="143" w:name="_Toc387526287"/>
      <w:bookmarkEnd w:id="143"/>
      <w:r>
        <w:rPr>
          <w:rFonts w:hint="eastAsia" w:eastAsiaTheme="minorEastAsia"/>
        </w:rPr>
        <w:t>1.4 投标人资格要求</w:t>
      </w:r>
    </w:p>
    <w:p w14:paraId="4ED06F90">
      <w:pPr>
        <w:spacing w:line="360" w:lineRule="exact"/>
        <w:ind w:firstLine="480"/>
        <w:rPr>
          <w:rFonts w:eastAsiaTheme="minorEastAsia"/>
        </w:rPr>
      </w:pPr>
      <w:r>
        <w:rPr>
          <w:rFonts w:hint="eastAsia" w:eastAsiaTheme="minorEastAsia"/>
        </w:rPr>
        <w:t>1.4.1 投标人应具备的资质要求见投标人须知前附表。</w:t>
      </w:r>
    </w:p>
    <w:p w14:paraId="458D77C6">
      <w:pPr>
        <w:spacing w:line="360" w:lineRule="exact"/>
        <w:ind w:firstLine="480"/>
        <w:rPr>
          <w:rFonts w:eastAsiaTheme="minorEastAsia"/>
        </w:rPr>
      </w:pPr>
      <w:r>
        <w:rPr>
          <w:rFonts w:hint="eastAsia" w:eastAsiaTheme="minorEastAsia"/>
        </w:rPr>
        <w:t>1.4.2 投标人须知前附表规定接受联合体投标的，除应符合本章第1.4.1项和投标人须知前附表的要求外，还应遵守以下规定：</w:t>
      </w:r>
    </w:p>
    <w:p w14:paraId="61276244">
      <w:pPr>
        <w:spacing w:line="360" w:lineRule="exact"/>
        <w:ind w:firstLine="480"/>
        <w:rPr>
          <w:rFonts w:eastAsiaTheme="minorEastAsia"/>
        </w:rPr>
      </w:pPr>
      <w:r>
        <w:rPr>
          <w:rFonts w:hint="eastAsia" w:eastAsiaTheme="minorEastAsia"/>
        </w:rPr>
        <w:t>（1）联合体各方应按招标文件提供的格式签订联合体协议书，明确联合体牵头人和各方的权利义务；</w:t>
      </w:r>
    </w:p>
    <w:p w14:paraId="17150616">
      <w:pPr>
        <w:spacing w:line="360" w:lineRule="exact"/>
        <w:ind w:firstLine="480"/>
        <w:rPr>
          <w:rFonts w:eastAsiaTheme="minorEastAsia"/>
        </w:rPr>
      </w:pPr>
      <w:r>
        <w:rPr>
          <w:rFonts w:hint="eastAsia" w:eastAsiaTheme="minorEastAsia"/>
        </w:rPr>
        <w:t>（2）由同一专业的单位组成的联合体，按照资质等级较低的单位确定资质等级；</w:t>
      </w:r>
    </w:p>
    <w:p w14:paraId="36CFBE1F">
      <w:pPr>
        <w:spacing w:line="360" w:lineRule="exact"/>
        <w:ind w:firstLine="480"/>
        <w:rPr>
          <w:rFonts w:eastAsiaTheme="minorEastAsia"/>
        </w:rPr>
      </w:pPr>
      <w:r>
        <w:rPr>
          <w:rFonts w:hint="eastAsia" w:eastAsiaTheme="minorEastAsia"/>
        </w:rPr>
        <w:t>（3）联合体各方不得再以自己名义单独或加入其他联合体在同一标段中参加投标。</w:t>
      </w:r>
    </w:p>
    <w:p w14:paraId="49A32533">
      <w:pPr>
        <w:spacing w:line="360" w:lineRule="exact"/>
        <w:ind w:firstLine="480"/>
        <w:rPr>
          <w:rFonts w:eastAsiaTheme="minorEastAsia"/>
        </w:rPr>
      </w:pPr>
      <w:r>
        <w:rPr>
          <w:rFonts w:hint="eastAsia" w:eastAsiaTheme="minorEastAsia"/>
        </w:rPr>
        <w:t xml:space="preserve">1.4.3 投标人不得存在下列情形之一： </w:t>
      </w:r>
      <w:bookmarkStart w:id="144" w:name="_Toc453091540"/>
      <w:bookmarkEnd w:id="144"/>
    </w:p>
    <w:p w14:paraId="4E3A584F">
      <w:pPr>
        <w:spacing w:line="360" w:lineRule="exact"/>
        <w:ind w:firstLine="480"/>
        <w:rPr>
          <w:rFonts w:eastAsiaTheme="minorEastAsia"/>
        </w:rPr>
      </w:pPr>
      <w:r>
        <w:rPr>
          <w:rFonts w:hint="eastAsia" w:eastAsiaTheme="minorEastAsia"/>
        </w:rPr>
        <w:t>①为招标人不具备独立法人资格的附属机构（单位）；</w:t>
      </w:r>
    </w:p>
    <w:p w14:paraId="0829822E">
      <w:pPr>
        <w:spacing w:line="360" w:lineRule="exact"/>
        <w:ind w:firstLine="480"/>
        <w:rPr>
          <w:rFonts w:eastAsiaTheme="minorEastAsia"/>
        </w:rPr>
      </w:pPr>
      <w:r>
        <w:rPr>
          <w:rFonts w:hint="eastAsia" w:eastAsiaTheme="minorEastAsia"/>
        </w:rPr>
        <w:t>②为本项目前期准备提供设计或咨询服务的，但设计施工总承包的除外；</w:t>
      </w:r>
    </w:p>
    <w:p w14:paraId="2F913146">
      <w:pPr>
        <w:spacing w:line="360" w:lineRule="exact"/>
        <w:ind w:firstLine="480"/>
        <w:rPr>
          <w:rFonts w:eastAsiaTheme="minorEastAsia"/>
        </w:rPr>
      </w:pPr>
      <w:r>
        <w:rPr>
          <w:rFonts w:hint="eastAsia" w:eastAsiaTheme="minorEastAsia"/>
        </w:rPr>
        <w:t>③被责令停业的；</w:t>
      </w:r>
    </w:p>
    <w:p w14:paraId="3A6F661E">
      <w:pPr>
        <w:spacing w:line="360" w:lineRule="exact"/>
        <w:ind w:firstLine="480"/>
        <w:rPr>
          <w:rFonts w:eastAsiaTheme="minorEastAsia"/>
        </w:rPr>
      </w:pPr>
      <w:r>
        <w:rPr>
          <w:rFonts w:hint="eastAsia" w:eastAsiaTheme="minorEastAsia"/>
        </w:rPr>
        <w:t>④被暂停或取消投标资格的；</w:t>
      </w:r>
    </w:p>
    <w:p w14:paraId="1C36E3EA">
      <w:pPr>
        <w:spacing w:line="360" w:lineRule="exact"/>
        <w:ind w:firstLine="480"/>
        <w:rPr>
          <w:rFonts w:eastAsiaTheme="minorEastAsia"/>
        </w:rPr>
      </w:pPr>
      <w:r>
        <w:rPr>
          <w:rFonts w:hint="eastAsia" w:eastAsiaTheme="minorEastAsia"/>
        </w:rPr>
        <w:t>⑤财产被接管或冻结的；</w:t>
      </w:r>
    </w:p>
    <w:p w14:paraId="0DB6D9A9">
      <w:pPr>
        <w:spacing w:line="360" w:lineRule="exact"/>
        <w:ind w:firstLine="480"/>
        <w:rPr>
          <w:rFonts w:eastAsiaTheme="minorEastAsia"/>
        </w:rPr>
      </w:pPr>
      <w:r>
        <w:rPr>
          <w:rFonts w:hint="eastAsia" w:eastAsiaTheme="minorEastAsia"/>
        </w:rPr>
        <w:t>⑥在最近三年中标或严重违约或重大工程质量问题的；</w:t>
      </w:r>
    </w:p>
    <w:p w14:paraId="223A89CA">
      <w:pPr>
        <w:spacing w:line="360" w:lineRule="exact"/>
        <w:ind w:firstLine="480"/>
        <w:rPr>
          <w:rFonts w:eastAsiaTheme="minorEastAsia"/>
        </w:rPr>
      </w:pPr>
      <w:r>
        <w:rPr>
          <w:rFonts w:hint="eastAsia" w:eastAsiaTheme="minorEastAsia"/>
        </w:rPr>
        <w:t>⑦涉及正在诉讼并有恶劣影响的重大案件；</w:t>
      </w:r>
    </w:p>
    <w:p w14:paraId="07F2F8C7">
      <w:pPr>
        <w:spacing w:line="360" w:lineRule="exact"/>
        <w:ind w:firstLine="480"/>
        <w:rPr>
          <w:rFonts w:eastAsiaTheme="minorEastAsia"/>
        </w:rPr>
      </w:pPr>
      <w:r>
        <w:rPr>
          <w:rFonts w:hint="eastAsia" w:eastAsiaTheme="minorEastAsia"/>
        </w:rPr>
        <w:t>⑧被省级或以上主管部门取消项目所在地的投标资格或禁止进入该区域参加投标活动且处于有效期内。</w:t>
      </w:r>
    </w:p>
    <w:p w14:paraId="2133FCC2">
      <w:pPr>
        <w:spacing w:line="360" w:lineRule="exact"/>
        <w:ind w:firstLine="480"/>
        <w:rPr>
          <w:rFonts w:eastAsiaTheme="minorEastAsia"/>
        </w:rPr>
      </w:pPr>
      <w:r>
        <w:rPr>
          <w:rFonts w:hint="eastAsia" w:eastAsiaTheme="minorEastAsia"/>
        </w:rPr>
        <w:t>1.5 费用承担</w:t>
      </w:r>
    </w:p>
    <w:p w14:paraId="4BC42CDA">
      <w:pPr>
        <w:spacing w:line="360" w:lineRule="exact"/>
        <w:ind w:firstLine="480"/>
        <w:rPr>
          <w:rFonts w:eastAsiaTheme="minorEastAsia"/>
        </w:rPr>
      </w:pPr>
      <w:r>
        <w:rPr>
          <w:rFonts w:hint="eastAsia" w:eastAsiaTheme="minorEastAsia"/>
        </w:rPr>
        <w:t>投标人准备和参加投标活动发生的费用自理。</w:t>
      </w:r>
    </w:p>
    <w:p w14:paraId="0787102E">
      <w:pPr>
        <w:spacing w:line="360" w:lineRule="exact"/>
        <w:ind w:firstLine="480"/>
        <w:rPr>
          <w:rFonts w:eastAsiaTheme="minorEastAsia"/>
        </w:rPr>
      </w:pPr>
      <w:bookmarkStart w:id="145" w:name="_Toc453091541"/>
      <w:bookmarkEnd w:id="145"/>
      <w:bookmarkStart w:id="146" w:name="_Toc387526381"/>
      <w:bookmarkEnd w:id="146"/>
      <w:bookmarkStart w:id="147" w:name="_Toc5130"/>
      <w:bookmarkEnd w:id="147"/>
      <w:bookmarkStart w:id="148" w:name="_Toc387526185"/>
      <w:bookmarkEnd w:id="148"/>
      <w:bookmarkStart w:id="149" w:name="_Toc387526289"/>
      <w:bookmarkEnd w:id="149"/>
      <w:r>
        <w:rPr>
          <w:rFonts w:hint="eastAsia" w:eastAsiaTheme="minorEastAsia"/>
        </w:rPr>
        <w:t>1.6 保密</w:t>
      </w:r>
    </w:p>
    <w:p w14:paraId="1059A60F">
      <w:pPr>
        <w:spacing w:line="360" w:lineRule="exact"/>
        <w:ind w:firstLine="480"/>
        <w:rPr>
          <w:rFonts w:eastAsiaTheme="minorEastAsia"/>
        </w:rPr>
      </w:pPr>
      <w:r>
        <w:rPr>
          <w:rFonts w:hint="eastAsia" w:eastAsiaTheme="minorEastAsia"/>
        </w:rPr>
        <w:t>参与招标投标活动的各方应对招标文件和投标文件中的商业和技术等秘密保密，违者应对由此造成的后果承担法律责任。</w:t>
      </w:r>
    </w:p>
    <w:p w14:paraId="3CE8AC69">
      <w:pPr>
        <w:spacing w:line="360" w:lineRule="exact"/>
        <w:ind w:firstLine="480"/>
        <w:rPr>
          <w:rFonts w:eastAsiaTheme="minorEastAsia"/>
        </w:rPr>
      </w:pPr>
      <w:bookmarkStart w:id="150" w:name="_Toc387526186"/>
      <w:bookmarkEnd w:id="150"/>
      <w:bookmarkStart w:id="151" w:name="_Toc387526290"/>
      <w:bookmarkEnd w:id="151"/>
      <w:bookmarkStart w:id="152" w:name="_Toc822"/>
      <w:bookmarkEnd w:id="152"/>
      <w:bookmarkStart w:id="153" w:name="_Toc453091542"/>
      <w:bookmarkEnd w:id="153"/>
      <w:bookmarkStart w:id="154" w:name="_Toc387526382"/>
      <w:bookmarkEnd w:id="154"/>
      <w:r>
        <w:rPr>
          <w:rFonts w:hint="eastAsia" w:eastAsiaTheme="minorEastAsia"/>
        </w:rPr>
        <w:t>1.7 语言文字</w:t>
      </w:r>
    </w:p>
    <w:p w14:paraId="44AB73F4">
      <w:pPr>
        <w:spacing w:line="360" w:lineRule="exact"/>
        <w:ind w:firstLine="480"/>
        <w:rPr>
          <w:rFonts w:eastAsiaTheme="minorEastAsia"/>
        </w:rPr>
      </w:pPr>
      <w:r>
        <w:rPr>
          <w:rFonts w:hint="eastAsia" w:eastAsiaTheme="minorEastAsia"/>
        </w:rPr>
        <w:t>除专用术语外，与招标投标有关的语言均使用中文。必要时专用术语应附有中文注释。</w:t>
      </w:r>
    </w:p>
    <w:p w14:paraId="5520BD9A">
      <w:pPr>
        <w:spacing w:line="360" w:lineRule="exact"/>
        <w:ind w:firstLine="480"/>
        <w:rPr>
          <w:rFonts w:eastAsiaTheme="minorEastAsia"/>
        </w:rPr>
      </w:pPr>
      <w:bookmarkStart w:id="155" w:name="_Toc387526383"/>
      <w:bookmarkEnd w:id="155"/>
      <w:bookmarkStart w:id="156" w:name="_Toc31413"/>
      <w:bookmarkEnd w:id="156"/>
      <w:bookmarkStart w:id="157" w:name="_Toc387526291"/>
      <w:bookmarkEnd w:id="157"/>
      <w:bookmarkStart w:id="158" w:name="_Toc453091543"/>
      <w:bookmarkEnd w:id="158"/>
      <w:bookmarkStart w:id="159" w:name="_Toc387526187"/>
      <w:bookmarkEnd w:id="159"/>
      <w:r>
        <w:rPr>
          <w:rFonts w:hint="eastAsia" w:eastAsiaTheme="minorEastAsia"/>
        </w:rPr>
        <w:t>1.8 计量单位</w:t>
      </w:r>
    </w:p>
    <w:p w14:paraId="43DB4083">
      <w:pPr>
        <w:spacing w:line="360" w:lineRule="exact"/>
        <w:ind w:firstLine="480"/>
        <w:rPr>
          <w:rFonts w:eastAsiaTheme="minorEastAsia"/>
        </w:rPr>
      </w:pPr>
      <w:r>
        <w:rPr>
          <w:rFonts w:hint="eastAsia" w:eastAsiaTheme="minorEastAsia"/>
        </w:rPr>
        <w:t>所有计量均采用中华人民共和国法定计量单位。</w:t>
      </w:r>
    </w:p>
    <w:p w14:paraId="400E4654">
      <w:pPr>
        <w:spacing w:line="360" w:lineRule="exact"/>
        <w:ind w:firstLine="480"/>
        <w:rPr>
          <w:rFonts w:eastAsiaTheme="minorEastAsia"/>
        </w:rPr>
      </w:pPr>
      <w:bookmarkStart w:id="160" w:name="_Toc387526384"/>
      <w:bookmarkEnd w:id="160"/>
      <w:bookmarkStart w:id="161" w:name="_Toc387526188"/>
      <w:bookmarkEnd w:id="161"/>
      <w:bookmarkStart w:id="162" w:name="_Toc387526292"/>
      <w:bookmarkEnd w:id="162"/>
      <w:bookmarkStart w:id="163" w:name="_Toc25122"/>
      <w:bookmarkEnd w:id="163"/>
      <w:bookmarkStart w:id="164" w:name="_Toc453091544"/>
      <w:bookmarkEnd w:id="164"/>
      <w:r>
        <w:rPr>
          <w:rFonts w:hint="eastAsia" w:eastAsiaTheme="minorEastAsia"/>
        </w:rPr>
        <w:t>1.9 踏勘现场</w:t>
      </w:r>
    </w:p>
    <w:p w14:paraId="4DFFE58A">
      <w:pPr>
        <w:spacing w:line="360" w:lineRule="exact"/>
        <w:ind w:firstLine="480"/>
        <w:rPr>
          <w:rFonts w:eastAsiaTheme="minorEastAsia"/>
        </w:rPr>
      </w:pPr>
      <w:r>
        <w:rPr>
          <w:rFonts w:hint="eastAsia" w:eastAsiaTheme="minorEastAsia"/>
        </w:rPr>
        <w:t xml:space="preserve">1.9.1 </w:t>
      </w:r>
      <w:r>
        <w:rPr>
          <w:rFonts w:eastAsiaTheme="minorEastAsia"/>
        </w:rPr>
        <w:t>本项目不组织现场踏勘。投标人可自行了解招标人数据资源现状，招标人可应要求提供数据资源目录等基础资料（涉密及个人信息除外）</w:t>
      </w:r>
      <w:r>
        <w:rPr>
          <w:rFonts w:hint="eastAsia" w:eastAsiaTheme="minorEastAsia"/>
        </w:rPr>
        <w:t>。</w:t>
      </w:r>
    </w:p>
    <w:p w14:paraId="557439DB">
      <w:pPr>
        <w:spacing w:line="360" w:lineRule="exact"/>
        <w:ind w:firstLine="480"/>
        <w:rPr>
          <w:rFonts w:eastAsiaTheme="minorEastAsia"/>
        </w:rPr>
      </w:pPr>
      <w:r>
        <w:rPr>
          <w:rFonts w:hint="eastAsia" w:eastAsiaTheme="minorEastAsia"/>
        </w:rPr>
        <w:t>1.9.2 投标人踏勘现场发生的费用自理。</w:t>
      </w:r>
    </w:p>
    <w:p w14:paraId="315A60DA">
      <w:pPr>
        <w:spacing w:line="360" w:lineRule="exact"/>
        <w:ind w:firstLine="480"/>
        <w:rPr>
          <w:rFonts w:eastAsiaTheme="minorEastAsia"/>
        </w:rPr>
      </w:pPr>
      <w:r>
        <w:rPr>
          <w:rFonts w:hint="eastAsia" w:eastAsiaTheme="minorEastAsia"/>
        </w:rPr>
        <w:t>1.9.3 投标人自行负责在踏勘现场中所发生的人员伤亡和财产损失。</w:t>
      </w:r>
    </w:p>
    <w:p w14:paraId="7816A276">
      <w:pPr>
        <w:spacing w:line="360" w:lineRule="exact"/>
        <w:ind w:firstLine="480"/>
        <w:rPr>
          <w:rFonts w:eastAsiaTheme="minorEastAsia"/>
        </w:rPr>
      </w:pPr>
      <w:r>
        <w:rPr>
          <w:rFonts w:hint="eastAsia" w:eastAsiaTheme="minorEastAsia"/>
        </w:rPr>
        <w:t>1.9.4 招标人向投标人提供的有关施工现场的资料和数据是招标人现有的能使投标人利用的资料。招标人对投标人由此而做出的推论、理解和结论概不负责。</w:t>
      </w:r>
    </w:p>
    <w:p w14:paraId="58A40612">
      <w:pPr>
        <w:spacing w:line="360" w:lineRule="exact"/>
        <w:ind w:firstLine="480"/>
        <w:rPr>
          <w:rFonts w:eastAsiaTheme="minorEastAsia"/>
        </w:rPr>
      </w:pPr>
      <w:bookmarkStart w:id="165" w:name="_Toc387526293"/>
      <w:bookmarkEnd w:id="165"/>
      <w:bookmarkStart w:id="166" w:name="_Toc387526189"/>
      <w:bookmarkEnd w:id="166"/>
      <w:bookmarkStart w:id="167" w:name="_Toc11088"/>
      <w:bookmarkEnd w:id="167"/>
      <w:bookmarkStart w:id="168" w:name="_Toc387526385"/>
      <w:bookmarkEnd w:id="168"/>
      <w:bookmarkStart w:id="169" w:name="_Toc453091545"/>
      <w:bookmarkEnd w:id="169"/>
      <w:r>
        <w:rPr>
          <w:rFonts w:hint="eastAsia" w:eastAsiaTheme="minorEastAsia"/>
        </w:rPr>
        <w:t>1.10 投标预备会</w:t>
      </w:r>
    </w:p>
    <w:p w14:paraId="5B77A1BA">
      <w:pPr>
        <w:spacing w:line="360" w:lineRule="exact"/>
        <w:ind w:firstLine="480"/>
        <w:rPr>
          <w:rFonts w:eastAsiaTheme="minorEastAsia"/>
        </w:rPr>
      </w:pPr>
      <w:r>
        <w:rPr>
          <w:rFonts w:hint="eastAsia" w:eastAsiaTheme="minorEastAsia"/>
        </w:rPr>
        <w:t>1.10.1 投标人须知前附表规定召开投标预备会的，招标人按投标人须知前附表规定的时间和地点召开投标预备会，澄清投标人提出的问题。</w:t>
      </w:r>
    </w:p>
    <w:p w14:paraId="14DE80B6">
      <w:pPr>
        <w:spacing w:line="360" w:lineRule="exact"/>
        <w:ind w:firstLine="480"/>
        <w:rPr>
          <w:rFonts w:eastAsiaTheme="minorEastAsia"/>
        </w:rPr>
      </w:pPr>
      <w:r>
        <w:rPr>
          <w:rFonts w:hint="eastAsia" w:eastAsiaTheme="minorEastAsia"/>
        </w:rPr>
        <w:t>1.10.2 投标人应在投标人须知前附表规定的时间前，以书面形式将提出的问题送达招标人，以便招标人在会议期间澄清。</w:t>
      </w:r>
    </w:p>
    <w:p w14:paraId="26C887F9">
      <w:pPr>
        <w:spacing w:line="360" w:lineRule="exact"/>
        <w:ind w:firstLine="480"/>
        <w:rPr>
          <w:rFonts w:eastAsiaTheme="minorEastAsia"/>
        </w:rPr>
      </w:pPr>
      <w:r>
        <w:rPr>
          <w:rFonts w:hint="eastAsia" w:eastAsiaTheme="minorEastAsia"/>
        </w:rPr>
        <w:t>1.10.3 投标预备会后，招标人在投标人须知前附表规定的时间内，将对投标人所提问题的澄清，以书面方式通知所有购买招标文件的投标人。该澄清内容为招标文件的组成部分。</w:t>
      </w:r>
    </w:p>
    <w:p w14:paraId="1157A74B">
      <w:pPr>
        <w:spacing w:line="360" w:lineRule="exact"/>
        <w:ind w:firstLine="480"/>
        <w:rPr>
          <w:rFonts w:eastAsiaTheme="minorEastAsia"/>
        </w:rPr>
      </w:pPr>
      <w:bookmarkStart w:id="170" w:name="_Toc366679673"/>
      <w:bookmarkEnd w:id="170"/>
      <w:bookmarkStart w:id="171" w:name="_Toc387526386"/>
      <w:bookmarkEnd w:id="171"/>
      <w:bookmarkStart w:id="172" w:name="_Toc387526294"/>
      <w:bookmarkEnd w:id="172"/>
      <w:bookmarkStart w:id="173" w:name="_Toc453091546"/>
      <w:bookmarkEnd w:id="173"/>
      <w:bookmarkStart w:id="174" w:name="_Toc21970"/>
      <w:bookmarkEnd w:id="174"/>
      <w:bookmarkStart w:id="175" w:name="_Toc387526190"/>
      <w:bookmarkEnd w:id="175"/>
      <w:bookmarkStart w:id="176" w:name="_Toc363329371"/>
      <w:bookmarkStart w:id="177" w:name="_Toc367894799"/>
      <w:r>
        <w:rPr>
          <w:rFonts w:hint="eastAsia" w:eastAsiaTheme="minorEastAsia"/>
        </w:rPr>
        <w:t>1.11 偏离</w:t>
      </w:r>
    </w:p>
    <w:p w14:paraId="60718B15">
      <w:pPr>
        <w:spacing w:line="360" w:lineRule="exact"/>
        <w:ind w:firstLine="480"/>
        <w:rPr>
          <w:rFonts w:eastAsiaTheme="minorEastAsia"/>
        </w:rPr>
      </w:pPr>
      <w:r>
        <w:rPr>
          <w:rFonts w:hint="eastAsia" w:eastAsiaTheme="minorEastAsia"/>
        </w:rPr>
        <w:t>投标人须知前附表允许投标文件偏离招标文件某些要求的，偏离应当符合招标文件规定的偏离范围和幅度。</w:t>
      </w:r>
    </w:p>
    <w:bookmarkEnd w:id="176"/>
    <w:bookmarkEnd w:id="177"/>
    <w:p w14:paraId="021391BF">
      <w:pPr>
        <w:spacing w:line="360" w:lineRule="exact"/>
        <w:ind w:firstLine="480"/>
        <w:rPr>
          <w:rFonts w:eastAsiaTheme="minorEastAsia"/>
        </w:rPr>
      </w:pPr>
      <w:bookmarkStart w:id="178" w:name="_Toc453091547"/>
      <w:bookmarkEnd w:id="178"/>
      <w:bookmarkStart w:id="179" w:name="_Toc387526191"/>
      <w:bookmarkEnd w:id="179"/>
      <w:bookmarkStart w:id="180" w:name="_Toc387526387"/>
      <w:bookmarkEnd w:id="180"/>
      <w:bookmarkStart w:id="181" w:name="_Toc368760428"/>
      <w:bookmarkEnd w:id="181"/>
      <w:bookmarkStart w:id="182" w:name="_Toc30422"/>
      <w:bookmarkEnd w:id="182"/>
      <w:bookmarkStart w:id="183" w:name="_Toc387526295"/>
      <w:bookmarkEnd w:id="183"/>
      <w:bookmarkStart w:id="184" w:name="_Toc368759376"/>
      <w:bookmarkEnd w:id="184"/>
      <w:bookmarkStart w:id="185" w:name="_Toc369077562"/>
      <w:bookmarkEnd w:id="185"/>
      <w:r>
        <w:rPr>
          <w:rFonts w:hint="eastAsia" w:eastAsiaTheme="minorEastAsia"/>
        </w:rPr>
        <w:t>2.招标文件</w:t>
      </w:r>
    </w:p>
    <w:p w14:paraId="18BDA23E">
      <w:pPr>
        <w:spacing w:line="360" w:lineRule="exact"/>
        <w:ind w:firstLine="480"/>
        <w:rPr>
          <w:rFonts w:eastAsiaTheme="minorEastAsia"/>
        </w:rPr>
      </w:pPr>
      <w:bookmarkStart w:id="186" w:name="_Toc387526192"/>
      <w:bookmarkEnd w:id="186"/>
      <w:bookmarkStart w:id="187" w:name="_Toc387526296"/>
      <w:bookmarkEnd w:id="187"/>
      <w:bookmarkStart w:id="188" w:name="_Toc387526388"/>
      <w:bookmarkEnd w:id="188"/>
      <w:bookmarkStart w:id="189" w:name="_Toc453091548"/>
      <w:bookmarkEnd w:id="189"/>
      <w:bookmarkStart w:id="190" w:name="_Toc23070"/>
      <w:bookmarkEnd w:id="190"/>
      <w:r>
        <w:rPr>
          <w:rFonts w:hint="eastAsia" w:eastAsiaTheme="minorEastAsia"/>
        </w:rPr>
        <w:t>2.1 招标文件组成</w:t>
      </w:r>
    </w:p>
    <w:p w14:paraId="6D21596B">
      <w:pPr>
        <w:spacing w:line="360" w:lineRule="exact"/>
        <w:ind w:firstLine="480"/>
        <w:rPr>
          <w:rFonts w:eastAsiaTheme="minorEastAsia"/>
        </w:rPr>
      </w:pPr>
      <w:r>
        <w:rPr>
          <w:rFonts w:hint="eastAsia" w:eastAsiaTheme="minorEastAsia"/>
        </w:rPr>
        <w:t>2.1.1 本招标文件包括：</w:t>
      </w:r>
    </w:p>
    <w:p w14:paraId="7EA6009A">
      <w:pPr>
        <w:spacing w:line="360" w:lineRule="exact"/>
        <w:ind w:firstLine="480"/>
        <w:rPr>
          <w:rFonts w:eastAsiaTheme="minorEastAsia"/>
        </w:rPr>
      </w:pPr>
      <w:r>
        <w:rPr>
          <w:rFonts w:hint="eastAsia" w:eastAsiaTheme="minorEastAsia"/>
        </w:rPr>
        <w:t>（1）招标公告；</w:t>
      </w:r>
    </w:p>
    <w:p w14:paraId="662FD7F6">
      <w:pPr>
        <w:spacing w:line="360" w:lineRule="exact"/>
        <w:ind w:firstLine="480"/>
        <w:rPr>
          <w:rFonts w:eastAsiaTheme="minorEastAsia"/>
        </w:rPr>
      </w:pPr>
      <w:r>
        <w:rPr>
          <w:rFonts w:hint="eastAsia" w:eastAsiaTheme="minorEastAsia"/>
        </w:rPr>
        <w:t>（2）投标人须知；</w:t>
      </w:r>
    </w:p>
    <w:p w14:paraId="7D4EEC50">
      <w:pPr>
        <w:spacing w:line="360" w:lineRule="exact"/>
        <w:ind w:firstLine="480"/>
        <w:rPr>
          <w:rFonts w:eastAsiaTheme="minorEastAsia"/>
        </w:rPr>
      </w:pPr>
      <w:r>
        <w:rPr>
          <w:rFonts w:hint="eastAsia" w:eastAsiaTheme="minorEastAsia"/>
        </w:rPr>
        <w:t>（3）评标办法；</w:t>
      </w:r>
    </w:p>
    <w:p w14:paraId="739DE2F0">
      <w:pPr>
        <w:spacing w:line="360" w:lineRule="exact"/>
        <w:ind w:firstLine="480"/>
        <w:rPr>
          <w:rFonts w:eastAsiaTheme="minorEastAsia"/>
        </w:rPr>
      </w:pPr>
      <w:r>
        <w:rPr>
          <w:rFonts w:hint="eastAsia" w:eastAsiaTheme="minorEastAsia"/>
        </w:rPr>
        <w:t>（4）合同条款及格式；</w:t>
      </w:r>
    </w:p>
    <w:p w14:paraId="05CC02F4">
      <w:pPr>
        <w:spacing w:line="360" w:lineRule="exact"/>
        <w:ind w:firstLine="480"/>
        <w:rPr>
          <w:rFonts w:eastAsiaTheme="minorEastAsia"/>
        </w:rPr>
      </w:pPr>
      <w:r>
        <w:rPr>
          <w:rFonts w:hint="eastAsia" w:eastAsiaTheme="minorEastAsia"/>
        </w:rPr>
        <w:t>（5）投标文件格式；</w:t>
      </w:r>
    </w:p>
    <w:p w14:paraId="739C1AB0">
      <w:pPr>
        <w:spacing w:line="360" w:lineRule="exact"/>
        <w:ind w:firstLine="480"/>
        <w:rPr>
          <w:rFonts w:eastAsiaTheme="minorEastAsia"/>
        </w:rPr>
      </w:pPr>
      <w:r>
        <w:rPr>
          <w:rFonts w:hint="eastAsia" w:eastAsiaTheme="minorEastAsia"/>
        </w:rPr>
        <w:t>（6）投标人须知前附表规定的其他材料。</w:t>
      </w:r>
    </w:p>
    <w:p w14:paraId="16C8C864">
      <w:pPr>
        <w:spacing w:line="360" w:lineRule="exact"/>
        <w:ind w:firstLine="480"/>
        <w:rPr>
          <w:rFonts w:eastAsiaTheme="minorEastAsia"/>
        </w:rPr>
      </w:pPr>
      <w:r>
        <w:rPr>
          <w:rFonts w:hint="eastAsia" w:eastAsiaTheme="minorEastAsia"/>
        </w:rPr>
        <w:t>2.根据本章第1.10款、第2.2款和第2.3款对招标文件所作的澄清、修改，构成招标文件的组成部分。当招标文件相互之间发生矛盾时，以后发出的文件为准。</w:t>
      </w:r>
    </w:p>
    <w:p w14:paraId="7243CD9F">
      <w:pPr>
        <w:spacing w:line="360" w:lineRule="exact"/>
        <w:ind w:firstLine="480"/>
        <w:rPr>
          <w:rFonts w:eastAsiaTheme="minorEastAsia"/>
        </w:rPr>
      </w:pPr>
      <w:bookmarkStart w:id="191" w:name="_Toc247085703"/>
      <w:bookmarkEnd w:id="191"/>
      <w:bookmarkStart w:id="192" w:name="_Toc179632562"/>
      <w:bookmarkEnd w:id="192"/>
      <w:bookmarkStart w:id="193" w:name="_Toc387526297"/>
      <w:bookmarkEnd w:id="193"/>
      <w:bookmarkStart w:id="194" w:name="_Toc387526193"/>
      <w:bookmarkEnd w:id="194"/>
      <w:bookmarkStart w:id="195" w:name="_Toc366679676"/>
      <w:bookmarkEnd w:id="195"/>
      <w:bookmarkStart w:id="196" w:name="_Toc152042320"/>
      <w:bookmarkEnd w:id="196"/>
      <w:bookmarkStart w:id="197" w:name="_Toc9593"/>
      <w:bookmarkEnd w:id="197"/>
      <w:bookmarkStart w:id="198" w:name="_Toc246996189"/>
      <w:bookmarkEnd w:id="198"/>
      <w:bookmarkStart w:id="199" w:name="_Toc152045544"/>
      <w:bookmarkEnd w:id="199"/>
      <w:bookmarkStart w:id="200" w:name="_Toc453091549"/>
      <w:bookmarkEnd w:id="200"/>
      <w:bookmarkStart w:id="201" w:name="_Toc144974512"/>
      <w:bookmarkEnd w:id="201"/>
      <w:bookmarkStart w:id="202" w:name="_Toc246996932"/>
      <w:bookmarkEnd w:id="202"/>
      <w:bookmarkStart w:id="203" w:name="_Toc387526389"/>
      <w:bookmarkEnd w:id="203"/>
      <w:r>
        <w:rPr>
          <w:rFonts w:hint="eastAsia" w:eastAsiaTheme="minorEastAsia"/>
        </w:rPr>
        <w:t xml:space="preserve">2.2 招标文件的澄清 </w:t>
      </w:r>
    </w:p>
    <w:p w14:paraId="571230D8">
      <w:pPr>
        <w:spacing w:line="360" w:lineRule="exact"/>
        <w:ind w:firstLine="480"/>
        <w:rPr>
          <w:rFonts w:eastAsiaTheme="minorEastAsia"/>
        </w:rPr>
      </w:pPr>
      <w:bookmarkStart w:id="204" w:name="_Toc16532"/>
      <w:bookmarkStart w:id="205" w:name="_Toc23846"/>
      <w:bookmarkStart w:id="206" w:name="_Toc13725"/>
      <w:bookmarkStart w:id="207" w:name="_Toc1550111"/>
      <w:bookmarkStart w:id="208" w:name="_Toc247085704"/>
      <w:bookmarkStart w:id="209" w:name="_Toc387526194"/>
      <w:bookmarkStart w:id="210" w:name="_Toc366679677"/>
      <w:bookmarkStart w:id="211" w:name="_Toc387526390"/>
      <w:bookmarkStart w:id="212" w:name="_Toc179632563"/>
      <w:bookmarkStart w:id="213" w:name="_Toc19263"/>
      <w:bookmarkStart w:id="214" w:name="_Toc246996190"/>
      <w:bookmarkStart w:id="215" w:name="_Toc387526298"/>
      <w:bookmarkStart w:id="216" w:name="_Toc246996933"/>
      <w:bookmarkStart w:id="217" w:name="_Toc453091550"/>
      <w:r>
        <w:rPr>
          <w:rFonts w:hint="eastAsia" w:eastAsiaTheme="minorEastAsia"/>
        </w:rPr>
        <w:t>2.2.1 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14:paraId="6E97DD97">
      <w:pPr>
        <w:spacing w:line="360" w:lineRule="exact"/>
        <w:ind w:firstLine="480"/>
        <w:rPr>
          <w:rFonts w:eastAsiaTheme="minorEastAsia"/>
        </w:rPr>
      </w:pPr>
      <w:r>
        <w:rPr>
          <w:rFonts w:hint="eastAsia" w:eastAsiaTheme="minorEastAsia"/>
        </w:rPr>
        <w:t>2.2.2 招标文件的澄清将在投标人须知前附表规定的投标截止时间3天前以书面形式给所有购买招标文件的投标人查看，但不指明澄清问题的来源。如果澄清发出的时间距投标截止时间不足3天，且澄清内容影响投标文件编制的，相应延长投标截止时间。</w:t>
      </w:r>
    </w:p>
    <w:bookmarkEnd w:id="204"/>
    <w:bookmarkEnd w:id="205"/>
    <w:bookmarkEnd w:id="206"/>
    <w:bookmarkEnd w:id="207"/>
    <w:p w14:paraId="501162C2">
      <w:pPr>
        <w:spacing w:line="360" w:lineRule="exact"/>
        <w:ind w:firstLine="480"/>
        <w:rPr>
          <w:rFonts w:eastAsiaTheme="minorEastAsia"/>
        </w:rPr>
      </w:pPr>
      <w:r>
        <w:rPr>
          <w:rFonts w:hint="eastAsia" w:eastAsiaTheme="minorEastAsia"/>
        </w:rPr>
        <w:t>2.2.3 投标人在收到澄清后，应以书面形式通知招标人，确认已收到该澄清。</w:t>
      </w:r>
    </w:p>
    <w:bookmarkEnd w:id="208"/>
    <w:bookmarkEnd w:id="209"/>
    <w:bookmarkEnd w:id="210"/>
    <w:bookmarkEnd w:id="211"/>
    <w:bookmarkEnd w:id="212"/>
    <w:bookmarkEnd w:id="213"/>
    <w:bookmarkEnd w:id="214"/>
    <w:bookmarkEnd w:id="215"/>
    <w:bookmarkEnd w:id="216"/>
    <w:bookmarkEnd w:id="217"/>
    <w:p w14:paraId="04F0C463">
      <w:pPr>
        <w:spacing w:line="360" w:lineRule="exact"/>
        <w:ind w:firstLine="480"/>
        <w:rPr>
          <w:rFonts w:eastAsiaTheme="minorEastAsia"/>
        </w:rPr>
      </w:pPr>
      <w:bookmarkStart w:id="218" w:name="_Toc387526391"/>
      <w:bookmarkEnd w:id="218"/>
      <w:bookmarkStart w:id="219" w:name="_Toc368759377"/>
      <w:bookmarkEnd w:id="219"/>
      <w:bookmarkStart w:id="220" w:name="_Toc363329372"/>
      <w:bookmarkEnd w:id="220"/>
      <w:bookmarkStart w:id="221" w:name="_Toc453091551"/>
      <w:bookmarkEnd w:id="221"/>
      <w:bookmarkStart w:id="222" w:name="_Toc368760429"/>
      <w:bookmarkEnd w:id="222"/>
      <w:bookmarkStart w:id="223" w:name="_Toc387526299"/>
      <w:bookmarkEnd w:id="223"/>
      <w:bookmarkStart w:id="224" w:name="_Toc369077563"/>
      <w:bookmarkEnd w:id="224"/>
      <w:bookmarkStart w:id="225" w:name="_Toc19481"/>
      <w:bookmarkEnd w:id="225"/>
      <w:bookmarkStart w:id="226" w:name="_Toc387526195"/>
      <w:bookmarkEnd w:id="226"/>
      <w:bookmarkStart w:id="227" w:name="_Toc367894800"/>
      <w:bookmarkEnd w:id="227"/>
      <w:bookmarkStart w:id="228" w:name="_Toc119718089"/>
      <w:r>
        <w:rPr>
          <w:rFonts w:hint="eastAsia" w:eastAsiaTheme="minorEastAsia"/>
        </w:rPr>
        <w:t>3.投标文件</w:t>
      </w:r>
    </w:p>
    <w:bookmarkEnd w:id="228"/>
    <w:p w14:paraId="26E76465">
      <w:pPr>
        <w:spacing w:line="360" w:lineRule="exact"/>
        <w:ind w:firstLine="480"/>
        <w:rPr>
          <w:rFonts w:eastAsiaTheme="minorEastAsia"/>
        </w:rPr>
      </w:pPr>
      <w:bookmarkStart w:id="229" w:name="_Toc387526300"/>
      <w:bookmarkEnd w:id="229"/>
      <w:bookmarkStart w:id="230" w:name="_Toc453091552"/>
      <w:bookmarkEnd w:id="230"/>
      <w:bookmarkStart w:id="231" w:name="_Toc5625"/>
      <w:bookmarkEnd w:id="231"/>
      <w:bookmarkStart w:id="232" w:name="_Toc387526196"/>
      <w:bookmarkEnd w:id="232"/>
      <w:bookmarkStart w:id="233" w:name="_Toc387526392"/>
      <w:bookmarkEnd w:id="233"/>
      <w:bookmarkStart w:id="234" w:name="_Toc387526302"/>
      <w:bookmarkStart w:id="235" w:name="_Toc21008"/>
      <w:bookmarkStart w:id="236" w:name="_Toc387526394"/>
      <w:bookmarkStart w:id="237" w:name="_Toc387526198"/>
      <w:bookmarkStart w:id="238" w:name="_Toc453091554"/>
      <w:r>
        <w:rPr>
          <w:rFonts w:hint="eastAsia" w:eastAsiaTheme="minorEastAsia"/>
        </w:rPr>
        <w:t>3.1 投标文件的组成</w:t>
      </w:r>
    </w:p>
    <w:p w14:paraId="11408EB9">
      <w:pPr>
        <w:spacing w:line="360" w:lineRule="exact"/>
        <w:ind w:firstLine="480"/>
        <w:rPr>
          <w:rFonts w:eastAsiaTheme="minorEastAsia"/>
        </w:rPr>
      </w:pPr>
      <w:r>
        <w:rPr>
          <w:rFonts w:hint="eastAsia" w:eastAsiaTheme="minorEastAsia"/>
        </w:rPr>
        <w:t>3.1.1 投标文件的组成见投标人须知前附表。</w:t>
      </w:r>
    </w:p>
    <w:p w14:paraId="123143D4">
      <w:pPr>
        <w:spacing w:line="360" w:lineRule="exact"/>
        <w:ind w:firstLine="480"/>
        <w:rPr>
          <w:rFonts w:eastAsiaTheme="minorEastAsia"/>
        </w:rPr>
      </w:pPr>
      <w:r>
        <w:rPr>
          <w:rFonts w:hint="eastAsia" w:eastAsiaTheme="minorEastAsia"/>
        </w:rPr>
        <w:t>3.1.2 第六章“投标文件格式”要求提供相关证明材料的复印件作为附件的，投标人应按要求在投标文件中提供相应材料，否则不予认可。</w:t>
      </w:r>
    </w:p>
    <w:p w14:paraId="199705C5">
      <w:pPr>
        <w:spacing w:line="360" w:lineRule="exact"/>
        <w:ind w:firstLine="480"/>
        <w:rPr>
          <w:rFonts w:eastAsiaTheme="minorEastAsia"/>
        </w:rPr>
      </w:pPr>
      <w:bookmarkStart w:id="239" w:name="_Toc387526393"/>
      <w:bookmarkStart w:id="240" w:name="_Toc387526301"/>
      <w:bookmarkStart w:id="241" w:name="_Toc453091553"/>
      <w:bookmarkStart w:id="242" w:name="_Toc10820"/>
      <w:bookmarkStart w:id="243" w:name="_Toc387526197"/>
      <w:r>
        <w:rPr>
          <w:rFonts w:hint="eastAsia" w:eastAsiaTheme="minorEastAsia"/>
        </w:rPr>
        <w:t>3.1.3 投标人应按投标人须知前附表的规定提供相关证明材料，否则不予认可。</w:t>
      </w:r>
    </w:p>
    <w:bookmarkEnd w:id="239"/>
    <w:bookmarkEnd w:id="240"/>
    <w:bookmarkEnd w:id="241"/>
    <w:bookmarkEnd w:id="242"/>
    <w:bookmarkEnd w:id="243"/>
    <w:p w14:paraId="7A9C1DCA">
      <w:pPr>
        <w:spacing w:line="360" w:lineRule="exact"/>
        <w:ind w:firstLine="480"/>
        <w:rPr>
          <w:rFonts w:eastAsiaTheme="minorEastAsia"/>
        </w:rPr>
      </w:pPr>
      <w:r>
        <w:rPr>
          <w:rFonts w:hint="eastAsia" w:eastAsiaTheme="minorEastAsia"/>
        </w:rPr>
        <w:t>3.2 投标报价</w:t>
      </w:r>
    </w:p>
    <w:p w14:paraId="0A4E6D97">
      <w:pPr>
        <w:spacing w:line="360" w:lineRule="exact"/>
        <w:ind w:firstLine="480"/>
        <w:rPr>
          <w:rFonts w:eastAsiaTheme="minorEastAsia"/>
        </w:rPr>
      </w:pPr>
      <w:r>
        <w:rPr>
          <w:rFonts w:hint="eastAsia" w:eastAsiaTheme="minorEastAsia"/>
        </w:rPr>
        <w:t>3.2.1 投标报价应包含在服务期内完成本招标文件所列范围全部工作内容所需的所有费用。</w:t>
      </w:r>
    </w:p>
    <w:p w14:paraId="163E3DE6">
      <w:pPr>
        <w:spacing w:line="360" w:lineRule="exact"/>
        <w:ind w:firstLine="480"/>
        <w:rPr>
          <w:rFonts w:eastAsiaTheme="minorEastAsia"/>
        </w:rPr>
      </w:pPr>
      <w:r>
        <w:rPr>
          <w:rFonts w:hint="eastAsia" w:eastAsiaTheme="minorEastAsia"/>
        </w:rPr>
        <w:t>3.2.2 投标人应结合本单位及本工程实际情况，充分考虑市场情况，本次服务费报价包括但不限于：直接成本、间接成本、利润、税金等为完成本工作所需的全部费用。投标报价为投标人在投标文件中提出的各项支付金额的总和，投标报价还应充分考虑招标文件、合同中所明示或暗示的一切费用。</w:t>
      </w:r>
    </w:p>
    <w:p w14:paraId="46705D0E">
      <w:pPr>
        <w:spacing w:line="360" w:lineRule="exact"/>
        <w:ind w:firstLine="480"/>
        <w:rPr>
          <w:rFonts w:eastAsiaTheme="minorEastAsia"/>
        </w:rPr>
      </w:pPr>
      <w:r>
        <w:rPr>
          <w:rFonts w:hint="eastAsia" w:eastAsiaTheme="minorEastAsia"/>
        </w:rPr>
        <w:t>3.2.3 投标报价由投标人参照市场行情自主进行报价，但不得低于成本。若评标委员会发现投标人的报价明显低于其他投标报价，或者明显低于招标控制价，使得其投标报价可能低于其成本的，可以要求该投标人作出书面说明并提供相应的证明材料。投标人不能合理说明或者不能提供相应证明材料的，由评标委员会认定该投标人以低于成本报价竞标，其投标作无效标处理。</w:t>
      </w:r>
    </w:p>
    <w:bookmarkEnd w:id="234"/>
    <w:bookmarkEnd w:id="235"/>
    <w:bookmarkEnd w:id="236"/>
    <w:bookmarkEnd w:id="237"/>
    <w:bookmarkEnd w:id="238"/>
    <w:p w14:paraId="23AC3F69">
      <w:pPr>
        <w:spacing w:line="360" w:lineRule="exact"/>
        <w:ind w:firstLine="480"/>
        <w:rPr>
          <w:rFonts w:eastAsiaTheme="minorEastAsia"/>
        </w:rPr>
      </w:pPr>
      <w:r>
        <w:rPr>
          <w:rFonts w:hint="eastAsia" w:eastAsiaTheme="minorEastAsia"/>
        </w:rPr>
        <w:t>3.3 投标有效期</w:t>
      </w:r>
    </w:p>
    <w:p w14:paraId="713E1F9E">
      <w:pPr>
        <w:spacing w:line="360" w:lineRule="exact"/>
        <w:ind w:firstLine="480"/>
        <w:rPr>
          <w:rFonts w:eastAsiaTheme="minorEastAsia"/>
        </w:rPr>
      </w:pPr>
      <w:r>
        <w:rPr>
          <w:rFonts w:hint="eastAsia" w:eastAsiaTheme="minorEastAsia"/>
        </w:rPr>
        <w:t>3.3.1 在投标人须知前附表第3.3.1条规定的投标有效期内，投标人不得要求撤销或修改其投标文件。</w:t>
      </w:r>
    </w:p>
    <w:p w14:paraId="5735F027">
      <w:pPr>
        <w:spacing w:line="360" w:lineRule="exact"/>
        <w:ind w:firstLine="480"/>
        <w:rPr>
          <w:rFonts w:eastAsiaTheme="minorEastAsia"/>
        </w:rPr>
      </w:pPr>
      <w:r>
        <w:rPr>
          <w:rFonts w:hint="eastAsia" w:eastAsiaTheme="minorEastAsia"/>
        </w:rPr>
        <w:t xml:space="preserve">3.3.2出现特殊情况需要延长投标有效期的，招标人应通知所有投标人延长投标有效期。 </w:t>
      </w:r>
    </w:p>
    <w:p w14:paraId="3A013104">
      <w:pPr>
        <w:spacing w:line="360" w:lineRule="exact"/>
        <w:ind w:firstLine="480"/>
        <w:rPr>
          <w:rFonts w:eastAsiaTheme="minorEastAsia"/>
        </w:rPr>
      </w:pPr>
      <w:bookmarkStart w:id="244" w:name="_Toc15701"/>
      <w:bookmarkEnd w:id="244"/>
      <w:bookmarkStart w:id="245" w:name="_Toc387526199"/>
      <w:bookmarkEnd w:id="245"/>
      <w:bookmarkStart w:id="246" w:name="_Toc387526303"/>
      <w:bookmarkEnd w:id="246"/>
      <w:bookmarkStart w:id="247" w:name="_Toc453091555"/>
      <w:bookmarkEnd w:id="247"/>
      <w:bookmarkStart w:id="248" w:name="_Toc387526395"/>
      <w:bookmarkEnd w:id="248"/>
      <w:bookmarkStart w:id="249" w:name="_Toc24952"/>
      <w:bookmarkStart w:id="250" w:name="_Toc453091556"/>
      <w:bookmarkStart w:id="251" w:name="_Toc269310939"/>
      <w:bookmarkStart w:id="252" w:name="_Toc339359765"/>
      <w:bookmarkStart w:id="253" w:name="_Toc324255909"/>
      <w:r>
        <w:rPr>
          <w:rFonts w:hint="eastAsia" w:eastAsiaTheme="minorEastAsia"/>
        </w:rPr>
        <w:t>（一）放弃中标项目的；</w:t>
      </w:r>
    </w:p>
    <w:p w14:paraId="278463C5">
      <w:pPr>
        <w:spacing w:line="360" w:lineRule="exact"/>
        <w:ind w:firstLine="480"/>
        <w:rPr>
          <w:rFonts w:eastAsiaTheme="minorEastAsia"/>
        </w:rPr>
      </w:pPr>
      <w:r>
        <w:rPr>
          <w:rFonts w:hint="eastAsia" w:eastAsiaTheme="minorEastAsia"/>
        </w:rPr>
        <w:t>（二）不与招标人签订合同的，或者在签订合同时向招标人提出附加条件或者更改合同实质性内容要求的。</w:t>
      </w:r>
    </w:p>
    <w:p w14:paraId="44DC0319">
      <w:pPr>
        <w:spacing w:line="360" w:lineRule="exact"/>
        <w:ind w:firstLine="480"/>
        <w:rPr>
          <w:rFonts w:eastAsiaTheme="minorEastAsia"/>
        </w:rPr>
      </w:pPr>
      <w:r>
        <w:rPr>
          <w:rFonts w:hint="eastAsia" w:eastAsiaTheme="minorEastAsia"/>
        </w:rPr>
        <w:t>（三）标中、标后被发现存在出借（挂靠）资质、提供虚假承诺等违法违规行为。</w:t>
      </w:r>
    </w:p>
    <w:p w14:paraId="474A4FA2">
      <w:pPr>
        <w:spacing w:line="360" w:lineRule="exact"/>
        <w:ind w:firstLine="480"/>
        <w:rPr>
          <w:rFonts w:eastAsiaTheme="minorEastAsia"/>
        </w:rPr>
      </w:pPr>
      <w:r>
        <w:rPr>
          <w:rFonts w:hint="eastAsia" w:eastAsiaTheme="minorEastAsia"/>
        </w:rPr>
        <w:t>投标人（中标人）存在前款所述情形的，招标投标行政监督部门应当将其记入不良行为记录，在一年内其他政府投资项目的招标人可以据此不接受其投标。</w:t>
      </w:r>
    </w:p>
    <w:bookmarkEnd w:id="249"/>
    <w:bookmarkEnd w:id="250"/>
    <w:bookmarkEnd w:id="251"/>
    <w:bookmarkEnd w:id="252"/>
    <w:bookmarkEnd w:id="253"/>
    <w:p w14:paraId="7C340128">
      <w:pPr>
        <w:spacing w:line="360" w:lineRule="exact"/>
        <w:ind w:firstLine="480"/>
        <w:rPr>
          <w:rFonts w:eastAsiaTheme="minorEastAsia"/>
        </w:rPr>
      </w:pPr>
      <w:bookmarkStart w:id="254" w:name="_Toc387526304"/>
      <w:bookmarkEnd w:id="254"/>
      <w:bookmarkStart w:id="255" w:name="_Toc387526396"/>
      <w:bookmarkEnd w:id="255"/>
      <w:bookmarkStart w:id="256" w:name="_Toc453091557"/>
      <w:bookmarkEnd w:id="256"/>
      <w:bookmarkStart w:id="257" w:name="_Toc387526200"/>
      <w:bookmarkEnd w:id="257"/>
      <w:bookmarkStart w:id="258" w:name="_Toc22895"/>
      <w:bookmarkEnd w:id="258"/>
      <w:r>
        <w:rPr>
          <w:rFonts w:hint="eastAsia" w:eastAsiaTheme="minorEastAsia"/>
        </w:rPr>
        <w:t>3.5 备选投标方案</w:t>
      </w:r>
    </w:p>
    <w:p w14:paraId="2ADC3CF3">
      <w:pPr>
        <w:spacing w:line="360" w:lineRule="exact"/>
        <w:ind w:firstLine="480"/>
        <w:rPr>
          <w:rFonts w:eastAsiaTheme="minorEastAsia"/>
        </w:rPr>
      </w:pPr>
      <w:r>
        <w:rPr>
          <w:rFonts w:hint="eastAsia" w:eastAsiaTheme="minorEastAsia"/>
        </w:rPr>
        <w:t>除投标人须知前附表另有规定外，投标人不得提交备选投标方案。</w:t>
      </w:r>
      <w:bookmarkStart w:id="259" w:name="_Toc387526397"/>
      <w:bookmarkEnd w:id="259"/>
      <w:bookmarkStart w:id="260" w:name="_Toc16855"/>
      <w:bookmarkEnd w:id="260"/>
      <w:bookmarkStart w:id="261" w:name="_Toc453091558"/>
      <w:bookmarkEnd w:id="261"/>
      <w:bookmarkStart w:id="262" w:name="_Toc387526305"/>
      <w:bookmarkEnd w:id="262"/>
      <w:bookmarkStart w:id="263" w:name="_Toc387526201"/>
      <w:bookmarkEnd w:id="263"/>
    </w:p>
    <w:p w14:paraId="685673C3">
      <w:pPr>
        <w:spacing w:line="360" w:lineRule="exact"/>
        <w:ind w:firstLine="480"/>
        <w:rPr>
          <w:rFonts w:eastAsiaTheme="minorEastAsia"/>
        </w:rPr>
      </w:pPr>
      <w:r>
        <w:rPr>
          <w:rFonts w:hint="eastAsia" w:eastAsiaTheme="minorEastAsia"/>
        </w:rPr>
        <w:t>3.6 投标文件的编制</w:t>
      </w:r>
      <w:bookmarkStart w:id="264" w:name="_Toc368760430"/>
      <w:bookmarkStart w:id="265" w:name="_Toc367894801"/>
      <w:bookmarkStart w:id="266" w:name="_Toc369077564"/>
      <w:bookmarkStart w:id="267" w:name="_Toc387526306"/>
      <w:bookmarkStart w:id="268" w:name="_Toc387526202"/>
      <w:bookmarkStart w:id="269" w:name="_Toc363329373"/>
      <w:bookmarkStart w:id="270" w:name="_Toc24421"/>
      <w:bookmarkStart w:id="271" w:name="_Toc453091559"/>
      <w:bookmarkStart w:id="272" w:name="_Toc368759378"/>
      <w:bookmarkStart w:id="273" w:name="_Toc184635074"/>
      <w:bookmarkStart w:id="274" w:name="_Toc387526398"/>
      <w:bookmarkStart w:id="275" w:name="_Toc184635075"/>
      <w:bookmarkStart w:id="276" w:name="_Toc367894802"/>
      <w:bookmarkStart w:id="277" w:name="_Toc368759379"/>
      <w:bookmarkStart w:id="278" w:name="_Toc363329374"/>
    </w:p>
    <w:p w14:paraId="1BD3A930">
      <w:pPr>
        <w:spacing w:line="360" w:lineRule="exact"/>
        <w:ind w:firstLine="480"/>
        <w:rPr>
          <w:rFonts w:eastAsiaTheme="minorEastAsia"/>
        </w:rPr>
      </w:pPr>
      <w:r>
        <w:rPr>
          <w:rFonts w:hint="eastAsia" w:eastAsiaTheme="minorEastAsia"/>
        </w:rPr>
        <w:t>3.6.1 投标文件应按第六章“投标文件格式”的要求进行编写，如有必要，可以增加附页，作为投标文件的组成部分。</w:t>
      </w:r>
    </w:p>
    <w:p w14:paraId="792F313B">
      <w:pPr>
        <w:spacing w:line="360" w:lineRule="exact"/>
        <w:ind w:firstLine="480"/>
        <w:rPr>
          <w:rFonts w:eastAsiaTheme="minorEastAsia"/>
        </w:rPr>
      </w:pPr>
      <w:r>
        <w:rPr>
          <w:rFonts w:hint="eastAsia" w:eastAsiaTheme="minorEastAsia"/>
        </w:rPr>
        <w:t>3.6.2 投标文件应用不褪色的材料书写或打印，投标文件应当对招标文件有关服务期限、投标有效期、质量要求、技术标准和要求、招标范围等实质性内容作出响应。</w:t>
      </w:r>
    </w:p>
    <w:p w14:paraId="54DCF2F9">
      <w:pPr>
        <w:spacing w:line="360" w:lineRule="exact"/>
        <w:ind w:firstLine="480"/>
        <w:rPr>
          <w:rFonts w:eastAsiaTheme="minorEastAsia"/>
        </w:rPr>
      </w:pPr>
      <w:r>
        <w:rPr>
          <w:rFonts w:hint="eastAsia" w:eastAsiaTheme="minorEastAsia"/>
        </w:rPr>
        <w:t>3.6.3 投标文件必须按照招标文件的规定进行签署（加盖投标人公章、投标人法定代表人或其授权委托代理人签字或印章）。投标文件应尽量避免涂改、行间插字或删除。如果出现上述情况，改动之处应加盖投标人公章或由投标人的法定代表人（或其授权的代理人）签字（或印章）确认。</w:t>
      </w:r>
    </w:p>
    <w:p w14:paraId="1C8DB372">
      <w:pPr>
        <w:spacing w:line="360" w:lineRule="exact"/>
        <w:ind w:firstLine="480"/>
        <w:rPr>
          <w:rFonts w:eastAsiaTheme="minorEastAsia"/>
        </w:rPr>
      </w:pPr>
      <w:r>
        <w:rPr>
          <w:rFonts w:hint="eastAsia" w:eastAsiaTheme="minorEastAsia"/>
        </w:rPr>
        <w:t>3.7 资格审查资料</w:t>
      </w:r>
    </w:p>
    <w:p w14:paraId="608CC898">
      <w:pPr>
        <w:spacing w:line="360" w:lineRule="exact"/>
        <w:ind w:firstLine="480"/>
        <w:rPr>
          <w:rFonts w:eastAsiaTheme="minorEastAsia"/>
        </w:rPr>
      </w:pPr>
      <w:r>
        <w:rPr>
          <w:rFonts w:hint="eastAsia" w:eastAsiaTheme="minorEastAsia"/>
        </w:rPr>
        <w:t>投标人在编制投标文件时，应按本章第3.1项的要求在投标文件中提供与资格审查相关的资料，且符合本章第3.6.1项的要求。</w:t>
      </w:r>
      <w:bookmarkStart w:id="279" w:name="_Toc444260755"/>
      <w:bookmarkEnd w:id="279"/>
    </w:p>
    <w:bookmarkEnd w:id="264"/>
    <w:bookmarkEnd w:id="265"/>
    <w:bookmarkEnd w:id="266"/>
    <w:bookmarkEnd w:id="267"/>
    <w:bookmarkEnd w:id="268"/>
    <w:bookmarkEnd w:id="269"/>
    <w:bookmarkEnd w:id="270"/>
    <w:bookmarkEnd w:id="271"/>
    <w:bookmarkEnd w:id="272"/>
    <w:bookmarkEnd w:id="273"/>
    <w:bookmarkEnd w:id="274"/>
    <w:p w14:paraId="19FD16B6">
      <w:pPr>
        <w:spacing w:line="360" w:lineRule="exact"/>
        <w:ind w:firstLine="480"/>
        <w:rPr>
          <w:rFonts w:eastAsiaTheme="minorEastAsia"/>
        </w:rPr>
      </w:pPr>
      <w:r>
        <w:rPr>
          <w:rFonts w:hint="eastAsia" w:eastAsiaTheme="minorEastAsia"/>
        </w:rPr>
        <w:t>4.投标</w:t>
      </w:r>
    </w:p>
    <w:p w14:paraId="24D9959A">
      <w:pPr>
        <w:spacing w:line="360" w:lineRule="exact"/>
        <w:ind w:firstLine="480"/>
        <w:rPr>
          <w:rFonts w:eastAsiaTheme="minorEastAsia"/>
        </w:rPr>
      </w:pPr>
      <w:bookmarkStart w:id="280" w:name="_Toc389065170"/>
      <w:bookmarkEnd w:id="280"/>
      <w:bookmarkStart w:id="281" w:name="_Toc498006672"/>
      <w:bookmarkEnd w:id="281"/>
      <w:bookmarkStart w:id="282" w:name="_Toc369077565"/>
      <w:bookmarkStart w:id="283" w:name="_Toc387526402"/>
      <w:bookmarkStart w:id="284" w:name="_Toc387526206"/>
      <w:bookmarkStart w:id="285" w:name="_Toc387526310"/>
      <w:bookmarkStart w:id="286" w:name="_Toc368760431"/>
      <w:bookmarkStart w:id="287" w:name="_Toc22329"/>
      <w:bookmarkStart w:id="288" w:name="_Toc453091564"/>
      <w:bookmarkStart w:id="289" w:name="_Toc144974534"/>
      <w:bookmarkStart w:id="290" w:name="_Toc246996953"/>
      <w:bookmarkStart w:id="291" w:name="_Toc368759381"/>
      <w:bookmarkStart w:id="292" w:name="_Toc179632584"/>
      <w:bookmarkStart w:id="293" w:name="_Toc247085724"/>
      <w:bookmarkStart w:id="294" w:name="_Toc152042342"/>
      <w:bookmarkStart w:id="295" w:name="_Toc366679697"/>
      <w:bookmarkStart w:id="296" w:name="_Toc246996210"/>
      <w:bookmarkStart w:id="297" w:name="_Toc152045566"/>
      <w:r>
        <w:rPr>
          <w:rFonts w:hint="eastAsia" w:eastAsiaTheme="minorEastAsia"/>
        </w:rPr>
        <w:t>4.1 投标文件的递交</w:t>
      </w:r>
    </w:p>
    <w:p w14:paraId="483C0266">
      <w:pPr>
        <w:spacing w:line="360" w:lineRule="exact"/>
        <w:ind w:firstLine="480"/>
        <w:rPr>
          <w:rFonts w:eastAsiaTheme="minorEastAsia"/>
        </w:rPr>
      </w:pPr>
      <w:r>
        <w:rPr>
          <w:rFonts w:hint="eastAsia" w:eastAsiaTheme="minorEastAsia"/>
        </w:rPr>
        <w:t>4.1.1 投标人应在投标人须知前附表规定的投标截止时间前递交投标文件。</w:t>
      </w:r>
    </w:p>
    <w:p w14:paraId="59DD181C">
      <w:pPr>
        <w:spacing w:line="360" w:lineRule="exact"/>
        <w:ind w:firstLine="480"/>
        <w:rPr>
          <w:rFonts w:eastAsiaTheme="minorEastAsia"/>
        </w:rPr>
      </w:pPr>
      <w:r>
        <w:rPr>
          <w:rFonts w:hint="eastAsia" w:eastAsiaTheme="minorEastAsia"/>
        </w:rPr>
        <w:t>4.1.2 投标人递交投标文件的地点：见投标人须知前附表。</w:t>
      </w:r>
    </w:p>
    <w:p w14:paraId="056E0115">
      <w:pPr>
        <w:spacing w:line="360" w:lineRule="exact"/>
        <w:ind w:firstLine="480"/>
        <w:rPr>
          <w:rFonts w:eastAsiaTheme="minorEastAsia"/>
        </w:rPr>
      </w:pPr>
      <w:r>
        <w:rPr>
          <w:rFonts w:hint="eastAsia" w:eastAsiaTheme="minorEastAsia"/>
        </w:rPr>
        <w:t>4.1.3 除投标人须知前附表另有规定外，投标人所递交的投标文件不予退还。</w:t>
      </w:r>
    </w:p>
    <w:p w14:paraId="7011A283">
      <w:pPr>
        <w:spacing w:line="360" w:lineRule="exact"/>
        <w:ind w:firstLine="480"/>
        <w:rPr>
          <w:rFonts w:eastAsiaTheme="minorEastAsia"/>
        </w:rPr>
      </w:pPr>
      <w:bookmarkStart w:id="298" w:name="_Toc498006674"/>
      <w:bookmarkEnd w:id="298"/>
      <w:bookmarkStart w:id="299" w:name="_Toc389065172"/>
      <w:bookmarkEnd w:id="299"/>
      <w:r>
        <w:rPr>
          <w:rFonts w:hint="eastAsia" w:eastAsiaTheme="minorEastAsia"/>
        </w:rPr>
        <w:t>4.2 投标文件的修改与撤回</w:t>
      </w:r>
    </w:p>
    <w:p w14:paraId="31FF1E23">
      <w:pPr>
        <w:spacing w:line="360" w:lineRule="exact"/>
        <w:ind w:firstLine="480"/>
        <w:rPr>
          <w:rFonts w:eastAsiaTheme="minorEastAsia"/>
        </w:rPr>
      </w:pPr>
      <w:r>
        <w:rPr>
          <w:rFonts w:hint="eastAsia" w:eastAsiaTheme="minorEastAsia"/>
        </w:rPr>
        <w:t>在本章第4.2.1项规定的投标截止时间前，投标人可以修改或撤回已递交的投标文件。</w:t>
      </w:r>
    </w:p>
    <w:p w14:paraId="6217BF08">
      <w:pPr>
        <w:spacing w:line="360" w:lineRule="exact"/>
        <w:ind w:firstLine="480"/>
        <w:rPr>
          <w:rFonts w:eastAsiaTheme="minorEastAsia"/>
        </w:rPr>
      </w:pPr>
      <w:bookmarkStart w:id="300" w:name="_Toc444260760"/>
      <w:bookmarkEnd w:id="300"/>
      <w:r>
        <w:rPr>
          <w:rFonts w:hint="eastAsia" w:eastAsiaTheme="minorEastAsia"/>
        </w:rPr>
        <w:t>4.3 不予接收的投标文件</w:t>
      </w:r>
    </w:p>
    <w:p w14:paraId="367212F2">
      <w:pPr>
        <w:spacing w:line="360" w:lineRule="exact"/>
        <w:ind w:firstLine="480"/>
        <w:rPr>
          <w:rFonts w:eastAsiaTheme="minorEastAsia"/>
        </w:rPr>
      </w:pPr>
      <w:r>
        <w:rPr>
          <w:rFonts w:hint="eastAsia" w:eastAsiaTheme="minorEastAsia"/>
        </w:rPr>
        <w:t>逾期送达或者未送达指定地点的投标文件，招标人不予接收。</w:t>
      </w:r>
    </w:p>
    <w:bookmarkEnd w:id="282"/>
    <w:bookmarkEnd w:id="283"/>
    <w:bookmarkEnd w:id="284"/>
    <w:bookmarkEnd w:id="285"/>
    <w:bookmarkEnd w:id="286"/>
    <w:bookmarkEnd w:id="287"/>
    <w:bookmarkEnd w:id="288"/>
    <w:p w14:paraId="407D2A38">
      <w:pPr>
        <w:spacing w:line="360" w:lineRule="exact"/>
        <w:ind w:firstLine="480"/>
        <w:rPr>
          <w:rFonts w:eastAsiaTheme="minorEastAsia"/>
        </w:rPr>
      </w:pPr>
      <w:bookmarkStart w:id="301" w:name="_Toc387526405"/>
      <w:bookmarkStart w:id="302" w:name="_Toc368760432"/>
      <w:bookmarkStart w:id="303" w:name="_Toc387526209"/>
      <w:bookmarkStart w:id="304" w:name="_Toc453091567"/>
      <w:bookmarkStart w:id="305" w:name="_Toc369077566"/>
      <w:bookmarkStart w:id="306" w:name="_Toc22517"/>
      <w:bookmarkStart w:id="307" w:name="_Toc387526313"/>
      <w:bookmarkStart w:id="308" w:name="_Toc367894803"/>
      <w:bookmarkStart w:id="309" w:name="_Toc368759380"/>
      <w:bookmarkStart w:id="310" w:name="_Toc363329375"/>
      <w:bookmarkStart w:id="311" w:name="_Toc184635076"/>
      <w:r>
        <w:rPr>
          <w:rFonts w:hint="eastAsia" w:eastAsiaTheme="minorEastAsia"/>
        </w:rPr>
        <w:t>5.开标</w:t>
      </w:r>
    </w:p>
    <w:p w14:paraId="54AAD2F7">
      <w:pPr>
        <w:spacing w:line="360" w:lineRule="exact"/>
        <w:ind w:firstLine="480"/>
        <w:rPr>
          <w:rFonts w:eastAsiaTheme="minorEastAsia"/>
        </w:rPr>
      </w:pPr>
      <w:bookmarkStart w:id="312" w:name="_Toc389065174"/>
      <w:bookmarkEnd w:id="312"/>
      <w:bookmarkStart w:id="313" w:name="_Toc498006676"/>
      <w:bookmarkEnd w:id="313"/>
      <w:r>
        <w:rPr>
          <w:rFonts w:hint="eastAsia" w:eastAsiaTheme="minorEastAsia"/>
        </w:rPr>
        <w:t>5.1 开标时间、地点和投标人参会代表</w:t>
      </w:r>
    </w:p>
    <w:p w14:paraId="35EBB2B8">
      <w:pPr>
        <w:spacing w:line="360" w:lineRule="exact"/>
        <w:ind w:firstLine="480"/>
        <w:rPr>
          <w:rFonts w:eastAsiaTheme="minorEastAsia"/>
        </w:rPr>
      </w:pPr>
      <w:bookmarkStart w:id="314" w:name="_Toc498006677"/>
      <w:bookmarkStart w:id="315" w:name="_Toc389065175"/>
      <w:r>
        <w:rPr>
          <w:rFonts w:hint="eastAsia" w:eastAsiaTheme="minorEastAsia"/>
        </w:rPr>
        <w:t>5.1.1招标人在投标人须知前附表规定的时间和地点开标；</w:t>
      </w:r>
    </w:p>
    <w:p w14:paraId="16E8E48F">
      <w:pPr>
        <w:spacing w:line="360" w:lineRule="exact"/>
        <w:ind w:firstLine="480"/>
        <w:rPr>
          <w:rFonts w:eastAsiaTheme="minorEastAsia"/>
        </w:rPr>
      </w:pPr>
      <w:r>
        <w:rPr>
          <w:rFonts w:hint="eastAsia" w:eastAsiaTheme="minorEastAsia"/>
        </w:rPr>
        <w:t>5.1.2</w:t>
      </w:r>
      <w:r>
        <w:rPr>
          <w:rFonts w:eastAsiaTheme="minorEastAsia"/>
        </w:rPr>
        <w:t>投标人应在开标时间完成在线签到与解密，未按时解密的视为撤回投标</w:t>
      </w:r>
      <w:r>
        <w:rPr>
          <w:rFonts w:hint="eastAsia" w:eastAsiaTheme="minorEastAsia"/>
        </w:rPr>
        <w:t>。</w:t>
      </w:r>
    </w:p>
    <w:bookmarkEnd w:id="275"/>
    <w:bookmarkEnd w:id="276"/>
    <w:bookmarkEnd w:id="277"/>
    <w:bookmarkEnd w:id="278"/>
    <w:bookmarkEnd w:id="289"/>
    <w:bookmarkEnd w:id="290"/>
    <w:bookmarkEnd w:id="291"/>
    <w:bookmarkEnd w:id="292"/>
    <w:bookmarkEnd w:id="293"/>
    <w:bookmarkEnd w:id="294"/>
    <w:bookmarkEnd w:id="295"/>
    <w:bookmarkEnd w:id="296"/>
    <w:bookmarkEnd w:id="297"/>
    <w:bookmarkEnd w:id="301"/>
    <w:bookmarkEnd w:id="302"/>
    <w:bookmarkEnd w:id="303"/>
    <w:bookmarkEnd w:id="304"/>
    <w:bookmarkEnd w:id="305"/>
    <w:bookmarkEnd w:id="306"/>
    <w:bookmarkEnd w:id="307"/>
    <w:bookmarkEnd w:id="308"/>
    <w:bookmarkEnd w:id="309"/>
    <w:bookmarkEnd w:id="310"/>
    <w:bookmarkEnd w:id="311"/>
    <w:bookmarkEnd w:id="314"/>
    <w:bookmarkEnd w:id="315"/>
    <w:p w14:paraId="7B427E6B">
      <w:pPr>
        <w:spacing w:line="360" w:lineRule="exact"/>
        <w:ind w:firstLine="480"/>
        <w:rPr>
          <w:rFonts w:eastAsiaTheme="minorEastAsia"/>
        </w:rPr>
      </w:pPr>
      <w:bookmarkStart w:id="316" w:name="_Toc498006679"/>
      <w:bookmarkEnd w:id="316"/>
      <w:r>
        <w:rPr>
          <w:rFonts w:hint="eastAsia" w:eastAsiaTheme="minorEastAsia"/>
        </w:rPr>
        <w:t>6.评标</w:t>
      </w:r>
    </w:p>
    <w:p w14:paraId="3E014EB3">
      <w:pPr>
        <w:spacing w:line="360" w:lineRule="exact"/>
        <w:ind w:firstLine="480"/>
        <w:rPr>
          <w:rFonts w:eastAsiaTheme="minorEastAsia"/>
        </w:rPr>
      </w:pPr>
      <w:bookmarkStart w:id="317" w:name="_Toc498006680"/>
      <w:bookmarkEnd w:id="317"/>
      <w:bookmarkStart w:id="318" w:name="_Toc389065178"/>
      <w:bookmarkEnd w:id="318"/>
      <w:r>
        <w:rPr>
          <w:rFonts w:hint="eastAsia" w:eastAsiaTheme="minorEastAsia"/>
        </w:rPr>
        <w:t>6.1 评标委员会</w:t>
      </w:r>
    </w:p>
    <w:p w14:paraId="14245340">
      <w:pPr>
        <w:spacing w:line="360" w:lineRule="exact"/>
        <w:ind w:firstLine="480"/>
        <w:rPr>
          <w:rFonts w:eastAsiaTheme="minorEastAsia"/>
        </w:rPr>
      </w:pPr>
      <w:r>
        <w:rPr>
          <w:rFonts w:hint="eastAsia" w:eastAsiaTheme="minorEastAsia"/>
        </w:rPr>
        <w:t>6.1.1 评标由招标人组建的评标委员会负责。评标委员会成员人数以及技术、经济等方面专家的确定方式见“投标人须知前附表”。</w:t>
      </w:r>
    </w:p>
    <w:p w14:paraId="1986CC84">
      <w:pPr>
        <w:spacing w:line="360" w:lineRule="exact"/>
        <w:ind w:firstLine="480"/>
        <w:rPr>
          <w:rFonts w:eastAsiaTheme="minorEastAsia"/>
        </w:rPr>
      </w:pPr>
      <w:bookmarkStart w:id="319" w:name="_Toc498006681"/>
      <w:bookmarkEnd w:id="319"/>
      <w:bookmarkStart w:id="320" w:name="_Toc389065179"/>
      <w:bookmarkEnd w:id="320"/>
      <w:r>
        <w:rPr>
          <w:rFonts w:hint="eastAsia" w:eastAsiaTheme="minorEastAsia"/>
        </w:rPr>
        <w:t>6.2 评标原则</w:t>
      </w:r>
    </w:p>
    <w:p w14:paraId="18E9D4A9">
      <w:pPr>
        <w:spacing w:line="360" w:lineRule="exact"/>
        <w:ind w:firstLine="480"/>
        <w:rPr>
          <w:rFonts w:eastAsiaTheme="minorEastAsia"/>
        </w:rPr>
      </w:pPr>
      <w:r>
        <w:rPr>
          <w:rFonts w:hint="eastAsia" w:eastAsiaTheme="minorEastAsia"/>
        </w:rPr>
        <w:t>评标活动遵循公平、公正、科学和择优的原则。</w:t>
      </w:r>
    </w:p>
    <w:p w14:paraId="76133B4E">
      <w:pPr>
        <w:spacing w:line="360" w:lineRule="exact"/>
        <w:ind w:firstLine="480"/>
        <w:rPr>
          <w:rFonts w:eastAsiaTheme="minorEastAsia"/>
        </w:rPr>
      </w:pPr>
      <w:bookmarkStart w:id="321" w:name="_Toc498006682"/>
      <w:bookmarkEnd w:id="321"/>
      <w:bookmarkStart w:id="322" w:name="_Toc389065180"/>
      <w:bookmarkEnd w:id="322"/>
      <w:r>
        <w:rPr>
          <w:rFonts w:hint="eastAsia" w:eastAsiaTheme="minorEastAsia"/>
        </w:rPr>
        <w:t>6.3 评标</w:t>
      </w:r>
    </w:p>
    <w:p w14:paraId="28490D36">
      <w:pPr>
        <w:spacing w:line="360" w:lineRule="exact"/>
        <w:ind w:firstLine="480"/>
        <w:rPr>
          <w:rFonts w:eastAsiaTheme="minorEastAsia"/>
        </w:rPr>
      </w:pPr>
      <w:r>
        <w:rPr>
          <w:rFonts w:hint="eastAsia" w:eastAsiaTheme="minorEastAsia"/>
        </w:rPr>
        <w:t>评标委员会按照第三章“评标办法”规定的方法、评审因素、标准和程序对投标文件进行评审。第三章“评标办法”没有规定的方法、评审因素和标准，不作为评标依据。</w:t>
      </w:r>
    </w:p>
    <w:p w14:paraId="2D64738D">
      <w:pPr>
        <w:spacing w:line="360" w:lineRule="exact"/>
        <w:ind w:firstLine="480"/>
        <w:rPr>
          <w:rFonts w:eastAsiaTheme="minorEastAsia"/>
        </w:rPr>
      </w:pPr>
      <w:bookmarkStart w:id="323" w:name="_Toc389065183"/>
      <w:bookmarkEnd w:id="323"/>
      <w:bookmarkStart w:id="324" w:name="_Toc498006683"/>
      <w:bookmarkEnd w:id="324"/>
      <w:r>
        <w:rPr>
          <w:rFonts w:hint="eastAsia" w:eastAsiaTheme="minorEastAsia"/>
        </w:rPr>
        <w:t>6.4 评标结果通知</w:t>
      </w:r>
    </w:p>
    <w:p w14:paraId="15183613">
      <w:pPr>
        <w:spacing w:line="360" w:lineRule="exact"/>
        <w:ind w:firstLine="480"/>
        <w:rPr>
          <w:rFonts w:eastAsiaTheme="minorEastAsia"/>
        </w:rPr>
      </w:pPr>
      <w:r>
        <w:rPr>
          <w:rFonts w:hint="eastAsia" w:eastAsiaTheme="minorEastAsia"/>
        </w:rPr>
        <w:t>6.4.1招标人在收到评标报告之日起3日内通知评标结果。</w:t>
      </w:r>
    </w:p>
    <w:p w14:paraId="7FE947D6">
      <w:pPr>
        <w:spacing w:line="360" w:lineRule="exact"/>
        <w:ind w:firstLine="480"/>
        <w:rPr>
          <w:rFonts w:eastAsiaTheme="minorEastAsia"/>
        </w:rPr>
      </w:pPr>
      <w:bookmarkStart w:id="325" w:name="_Toc389065188"/>
      <w:bookmarkStart w:id="326" w:name="_Toc498006688"/>
      <w:r>
        <w:rPr>
          <w:rFonts w:hint="eastAsia" w:eastAsiaTheme="minorEastAsia"/>
        </w:rPr>
        <w:t>7.中标结果公示</w:t>
      </w:r>
    </w:p>
    <w:p w14:paraId="559C265F">
      <w:pPr>
        <w:spacing w:line="360" w:lineRule="exact"/>
        <w:ind w:firstLine="480"/>
        <w:rPr>
          <w:rFonts w:eastAsiaTheme="minorEastAsia"/>
        </w:rPr>
      </w:pPr>
      <w:r>
        <w:rPr>
          <w:rFonts w:hint="eastAsia" w:eastAsiaTheme="minorEastAsia"/>
        </w:rPr>
        <w:t>招标人在收到评标报告后，将在与招标公告相同的发布媒介上对中标结果进行公示，公示期不少于3日。投标人或者其他利害关系人对中标结果有异议的，应当在中标结果公示期间向招标人书面提出异议。招标人自收到异议之日起3日内作出答复，并在作出答复前暂停招标投标活动。</w:t>
      </w:r>
    </w:p>
    <w:bookmarkEnd w:id="325"/>
    <w:bookmarkEnd w:id="326"/>
    <w:p w14:paraId="706700DD">
      <w:pPr>
        <w:spacing w:line="360" w:lineRule="exact"/>
        <w:ind w:firstLine="480"/>
        <w:rPr>
          <w:rFonts w:eastAsiaTheme="minorEastAsia"/>
        </w:rPr>
      </w:pPr>
      <w:bookmarkStart w:id="327" w:name="_Toc33776325"/>
      <w:bookmarkEnd w:id="327"/>
      <w:bookmarkStart w:id="328" w:name="_Toc444260769"/>
      <w:bookmarkEnd w:id="328"/>
      <w:bookmarkStart w:id="329" w:name="_Toc498006695"/>
      <w:r>
        <w:rPr>
          <w:rFonts w:hint="eastAsia" w:eastAsiaTheme="minorEastAsia"/>
        </w:rPr>
        <w:t>8.合同授予</w:t>
      </w:r>
    </w:p>
    <w:p w14:paraId="028B2D6B">
      <w:pPr>
        <w:spacing w:line="360" w:lineRule="exact"/>
        <w:ind w:firstLine="480"/>
        <w:rPr>
          <w:rFonts w:eastAsiaTheme="minorEastAsia"/>
        </w:rPr>
      </w:pPr>
      <w:bookmarkStart w:id="330" w:name="_Toc444260770"/>
      <w:bookmarkEnd w:id="330"/>
      <w:r>
        <w:rPr>
          <w:rFonts w:hint="eastAsia" w:eastAsiaTheme="minorEastAsia"/>
        </w:rPr>
        <w:t>8.1 定标方式</w:t>
      </w:r>
    </w:p>
    <w:p w14:paraId="6E92DA92">
      <w:pPr>
        <w:spacing w:line="360" w:lineRule="exact"/>
        <w:ind w:firstLine="480"/>
        <w:rPr>
          <w:rFonts w:eastAsiaTheme="minorEastAsia"/>
        </w:rPr>
      </w:pPr>
      <w:r>
        <w:rPr>
          <w:rFonts w:hint="eastAsia" w:eastAsiaTheme="minorEastAsia"/>
        </w:rPr>
        <w:t>评标委员会完成评标后，应向招标人推荐3名有排序的中标候选人。招标人应当确定排名第一的中标候选人为中标人。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w:t>
      </w:r>
    </w:p>
    <w:p w14:paraId="37F24216">
      <w:pPr>
        <w:spacing w:line="360" w:lineRule="exact"/>
        <w:ind w:firstLine="480"/>
        <w:rPr>
          <w:rFonts w:eastAsiaTheme="minorEastAsia"/>
        </w:rPr>
      </w:pPr>
      <w:bookmarkStart w:id="331" w:name="_Toc444260771"/>
      <w:bookmarkEnd w:id="331"/>
      <w:r>
        <w:rPr>
          <w:rFonts w:hint="eastAsia" w:eastAsiaTheme="minorEastAsia"/>
        </w:rPr>
        <w:t>8.2中标通知书</w:t>
      </w:r>
    </w:p>
    <w:p w14:paraId="78A86832">
      <w:pPr>
        <w:spacing w:line="360" w:lineRule="exact"/>
        <w:ind w:firstLine="480"/>
        <w:rPr>
          <w:rFonts w:eastAsiaTheme="minorEastAsia"/>
        </w:rPr>
      </w:pPr>
      <w:r>
        <w:rPr>
          <w:rFonts w:hint="eastAsia" w:eastAsiaTheme="minorEastAsia"/>
        </w:rPr>
        <w:t>中标结果公示期间无异议的，招标人在本招标文件规定的投标有效期内，以书面形式向中标人发出中标通知书。</w:t>
      </w:r>
    </w:p>
    <w:p w14:paraId="365F119E">
      <w:pPr>
        <w:spacing w:line="360" w:lineRule="exact"/>
        <w:ind w:firstLine="480"/>
        <w:rPr>
          <w:rFonts w:eastAsiaTheme="minorEastAsia"/>
        </w:rPr>
      </w:pPr>
      <w:bookmarkStart w:id="332" w:name="_Toc444260772"/>
      <w:bookmarkEnd w:id="332"/>
      <w:r>
        <w:rPr>
          <w:rFonts w:hint="eastAsia" w:eastAsiaTheme="minorEastAsia"/>
        </w:rPr>
        <w:t>8.3 签订合同</w:t>
      </w:r>
    </w:p>
    <w:p w14:paraId="2987B081">
      <w:pPr>
        <w:spacing w:line="360" w:lineRule="exact"/>
        <w:ind w:firstLine="480"/>
        <w:rPr>
          <w:rFonts w:eastAsiaTheme="minorEastAsia"/>
        </w:rPr>
      </w:pPr>
      <w:r>
        <w:rPr>
          <w:rFonts w:hint="eastAsia" w:eastAsiaTheme="minorEastAsia"/>
        </w:rPr>
        <w:t>招标人和中标人应当自中标通知书发出之日起30 天内，根据招标文件和中标人的投标文件订立书面合同。中标人无正当理由拒签合同的，招标人取消其中标资格。</w:t>
      </w:r>
    </w:p>
    <w:bookmarkEnd w:id="329"/>
    <w:p w14:paraId="648EE8A3">
      <w:pPr>
        <w:spacing w:line="360" w:lineRule="exact"/>
        <w:ind w:firstLine="480"/>
        <w:rPr>
          <w:rFonts w:eastAsiaTheme="minorEastAsia"/>
        </w:rPr>
      </w:pPr>
      <w:bookmarkStart w:id="333" w:name="_Toc33776326"/>
      <w:bookmarkEnd w:id="333"/>
      <w:bookmarkStart w:id="334" w:name="_Toc444260773"/>
      <w:bookmarkEnd w:id="334"/>
      <w:r>
        <w:rPr>
          <w:rFonts w:hint="eastAsia" w:eastAsiaTheme="minorEastAsia"/>
        </w:rPr>
        <w:t>9.纪律和监督</w:t>
      </w:r>
    </w:p>
    <w:p w14:paraId="410FA62E">
      <w:pPr>
        <w:spacing w:line="360" w:lineRule="exact"/>
        <w:ind w:firstLine="480"/>
        <w:rPr>
          <w:rFonts w:eastAsiaTheme="minorEastAsia"/>
        </w:rPr>
      </w:pPr>
      <w:bookmarkStart w:id="335" w:name="_Toc444260774"/>
      <w:bookmarkEnd w:id="335"/>
      <w:r>
        <w:rPr>
          <w:rFonts w:hint="eastAsia" w:eastAsiaTheme="minorEastAsia"/>
        </w:rPr>
        <w:t>9.1 对招标人的纪律要求</w:t>
      </w:r>
    </w:p>
    <w:p w14:paraId="1AF89C26">
      <w:pPr>
        <w:spacing w:line="360" w:lineRule="exact"/>
        <w:ind w:firstLine="480"/>
        <w:rPr>
          <w:rFonts w:eastAsiaTheme="minorEastAsia"/>
        </w:rPr>
      </w:pPr>
      <w:r>
        <w:rPr>
          <w:rFonts w:hint="eastAsia" w:eastAsiaTheme="minorEastAsia"/>
        </w:rPr>
        <w:t>招标人不得泄露招标投标活动中应当保密的情况和资料，不得与投标人串通损害国家利益、社会公共利益或者他人合法权益。</w:t>
      </w:r>
    </w:p>
    <w:p w14:paraId="496CC4EB">
      <w:pPr>
        <w:spacing w:line="360" w:lineRule="exact"/>
        <w:ind w:firstLine="480"/>
        <w:rPr>
          <w:rFonts w:eastAsiaTheme="minorEastAsia"/>
        </w:rPr>
      </w:pPr>
      <w:bookmarkStart w:id="336" w:name="_Toc444260775"/>
      <w:bookmarkEnd w:id="336"/>
      <w:r>
        <w:rPr>
          <w:rFonts w:hint="eastAsia" w:eastAsiaTheme="minorEastAsia"/>
        </w:rPr>
        <w:t>9.2 对投标人的纪律要求</w:t>
      </w:r>
    </w:p>
    <w:p w14:paraId="4A68131C">
      <w:pPr>
        <w:spacing w:line="360" w:lineRule="exact"/>
        <w:ind w:firstLine="480"/>
        <w:rPr>
          <w:rFonts w:eastAsiaTheme="minorEastAsia"/>
        </w:rPr>
      </w:pPr>
      <w:r>
        <w:rPr>
          <w:rFonts w:hint="eastAsia" w:eastAsiaTheme="minor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1C452FA">
      <w:pPr>
        <w:spacing w:line="360" w:lineRule="exact"/>
        <w:ind w:firstLine="480"/>
        <w:rPr>
          <w:rFonts w:eastAsiaTheme="minorEastAsia"/>
        </w:rPr>
      </w:pPr>
      <w:bookmarkStart w:id="337" w:name="_Toc444260776"/>
      <w:bookmarkEnd w:id="337"/>
      <w:r>
        <w:rPr>
          <w:rFonts w:hint="eastAsia" w:eastAsiaTheme="minorEastAsia"/>
        </w:rPr>
        <w:t>9.3 对评标委员会成员的纪律要求</w:t>
      </w:r>
    </w:p>
    <w:p w14:paraId="5BC9DE2B">
      <w:pPr>
        <w:spacing w:line="360" w:lineRule="exact"/>
        <w:ind w:firstLine="480"/>
        <w:rPr>
          <w:rFonts w:eastAsiaTheme="minorEastAsia"/>
        </w:rPr>
      </w:pPr>
      <w:r>
        <w:rPr>
          <w:rFonts w:hint="eastAsia" w:eastAsiaTheme="minorEastAsia"/>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招标文件规定以外的评审因素和标准进行评标。</w:t>
      </w:r>
    </w:p>
    <w:p w14:paraId="1002774D">
      <w:pPr>
        <w:spacing w:line="360" w:lineRule="exact"/>
        <w:ind w:firstLine="480"/>
        <w:rPr>
          <w:rFonts w:eastAsiaTheme="minorEastAsia"/>
        </w:rPr>
      </w:pPr>
      <w:bookmarkStart w:id="338" w:name="_Toc444260777"/>
      <w:bookmarkEnd w:id="338"/>
      <w:r>
        <w:rPr>
          <w:rFonts w:hint="eastAsia" w:eastAsiaTheme="minorEastAsia"/>
        </w:rPr>
        <w:t>9.4 对与评标活动有关的工作人员的纪律要求</w:t>
      </w:r>
    </w:p>
    <w:p w14:paraId="5F7553E5">
      <w:pPr>
        <w:spacing w:line="360" w:lineRule="exact"/>
        <w:ind w:firstLine="480"/>
        <w:rPr>
          <w:rFonts w:eastAsiaTheme="minorEastAsia"/>
        </w:rPr>
      </w:pPr>
      <w:r>
        <w:rPr>
          <w:rFonts w:hint="eastAsia" w:eastAsiaTheme="minorEastAsia"/>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14:paraId="5C618A68">
      <w:pPr>
        <w:spacing w:line="360" w:lineRule="exact"/>
        <w:ind w:firstLine="480"/>
        <w:rPr>
          <w:rFonts w:eastAsiaTheme="minorEastAsia"/>
        </w:rPr>
      </w:pPr>
      <w:bookmarkStart w:id="339" w:name="_Toc444260778"/>
      <w:bookmarkEnd w:id="339"/>
      <w:r>
        <w:rPr>
          <w:rFonts w:hint="eastAsia" w:eastAsiaTheme="minorEastAsia"/>
        </w:rPr>
        <w:t>9.5 投诉</w:t>
      </w:r>
    </w:p>
    <w:p w14:paraId="05195434">
      <w:pPr>
        <w:spacing w:line="360" w:lineRule="exact"/>
        <w:ind w:firstLine="480"/>
        <w:rPr>
          <w:rFonts w:eastAsiaTheme="minorEastAsia"/>
        </w:rPr>
      </w:pPr>
      <w:bookmarkStart w:id="340" w:name="_Toc444260779"/>
      <w:r>
        <w:rPr>
          <w:rFonts w:hint="eastAsia" w:eastAsiaTheme="minorEastAsia"/>
        </w:rPr>
        <w:t>异议时未提出的事项，投诉时不予受理；异议、投诉的提出及后续处理须由投标人投标时确定的授权委托代表全程参与，转委托无效。</w:t>
      </w:r>
    </w:p>
    <w:bookmarkEnd w:id="340"/>
    <w:p w14:paraId="19C96A8B">
      <w:pPr>
        <w:spacing w:line="360" w:lineRule="exact"/>
        <w:ind w:firstLine="480"/>
        <w:rPr>
          <w:rFonts w:eastAsiaTheme="minorEastAsia"/>
        </w:rPr>
      </w:pPr>
      <w:bookmarkStart w:id="341" w:name="_Toc33776327"/>
      <w:bookmarkEnd w:id="341"/>
      <w:r>
        <w:rPr>
          <w:rFonts w:hint="eastAsia" w:eastAsiaTheme="minorEastAsia"/>
        </w:rPr>
        <w:t>10.需要补充的其他内容</w:t>
      </w:r>
    </w:p>
    <w:p w14:paraId="7B7945D6">
      <w:pPr>
        <w:spacing w:line="360" w:lineRule="exact"/>
        <w:ind w:firstLine="480"/>
        <w:rPr>
          <w:rFonts w:eastAsiaTheme="minorEastAsia"/>
        </w:rPr>
      </w:pPr>
      <w:r>
        <w:rPr>
          <w:rFonts w:hint="eastAsia" w:eastAsiaTheme="minorEastAsia"/>
        </w:rPr>
        <w:t>需要补充的其他内容：见投标人须知前附表。</w:t>
      </w:r>
    </w:p>
    <w:p w14:paraId="00EB7942">
      <w:pPr>
        <w:pStyle w:val="97"/>
        <w:spacing w:line="360" w:lineRule="auto"/>
        <w:ind w:firstLine="420"/>
        <w:jc w:val="left"/>
        <w:rPr>
          <w:rFonts w:ascii="宋体" w:hAnsi="宋体" w:cs="宋体"/>
          <w:szCs w:val="21"/>
        </w:rPr>
      </w:pPr>
    </w:p>
    <w:p w14:paraId="7C4B1597">
      <w:pPr>
        <w:pStyle w:val="2"/>
        <w:pageBreakBefore/>
        <w:ind w:firstLine="0" w:firstLineChars="0"/>
        <w:jc w:val="center"/>
        <w:rPr>
          <w:sz w:val="44"/>
        </w:rPr>
      </w:pPr>
      <w:r>
        <w:rPr>
          <w:sz w:val="44"/>
        </w:rPr>
        <w:t>第三章  评标办法</w:t>
      </w:r>
      <w:bookmarkEnd w:id="122"/>
      <w:bookmarkEnd w:id="123"/>
    </w:p>
    <w:p w14:paraId="51998274">
      <w:pPr>
        <w:ind w:firstLine="600" w:firstLineChars="250"/>
        <w:outlineLvl w:val="1"/>
        <w:rPr>
          <w:b/>
        </w:rPr>
      </w:pPr>
      <w:bookmarkStart w:id="342" w:name="_Toc68108410"/>
      <w:bookmarkStart w:id="343" w:name="_Toc14426"/>
      <w:r>
        <w:rPr>
          <w:b/>
        </w:rPr>
        <w:t>一、评标、定标办法</w:t>
      </w:r>
      <w:bookmarkEnd w:id="342"/>
      <w:bookmarkEnd w:id="343"/>
    </w:p>
    <w:p w14:paraId="13880EE3">
      <w:pPr>
        <w:ind w:firstLine="480"/>
        <w:rPr>
          <w:highlight w:val="none"/>
        </w:rPr>
      </w:pPr>
      <w:r>
        <w:rPr>
          <w:highlight w:val="none"/>
        </w:rPr>
        <w:t>本项目招标评标办法采用</w:t>
      </w:r>
      <w:r>
        <w:rPr>
          <w:b/>
          <w:bCs/>
          <w:highlight w:val="none"/>
        </w:rPr>
        <w:t>“</w:t>
      </w:r>
      <w:r>
        <w:rPr>
          <w:rFonts w:hint="eastAsia"/>
          <w:b/>
          <w:bCs/>
          <w:highlight w:val="none"/>
        </w:rPr>
        <w:t>综合评估</w:t>
      </w:r>
      <w:r>
        <w:rPr>
          <w:b/>
          <w:bCs/>
          <w:highlight w:val="none"/>
        </w:rPr>
        <w:t>法”</w:t>
      </w:r>
      <w:r>
        <w:rPr>
          <w:highlight w:val="none"/>
        </w:rPr>
        <w:t>，</w:t>
      </w:r>
    </w:p>
    <w:p w14:paraId="0F7FD23A">
      <w:pPr>
        <w:ind w:firstLine="470" w:firstLineChars="196"/>
        <w:outlineLvl w:val="1"/>
        <w:rPr>
          <w:b/>
        </w:rPr>
      </w:pPr>
      <w:bookmarkStart w:id="344" w:name="_Toc15166"/>
      <w:bookmarkStart w:id="345" w:name="_Toc68108411"/>
      <w:r>
        <w:rPr>
          <w:b/>
        </w:rPr>
        <w:t>二、评标标准和程序</w:t>
      </w:r>
      <w:bookmarkEnd w:id="344"/>
      <w:bookmarkEnd w:id="345"/>
    </w:p>
    <w:p w14:paraId="712EFD57">
      <w:pPr>
        <w:pStyle w:val="40"/>
        <w:snapToGrid/>
        <w:spacing w:after="0"/>
        <w:rPr>
          <w:kern w:val="0"/>
          <w:sz w:val="24"/>
        </w:rPr>
      </w:pPr>
      <w:r>
        <w:rPr>
          <w:kern w:val="0"/>
          <w:sz w:val="24"/>
        </w:rPr>
        <w:t>投标文件的评审按以下顺序进行，上一阶段未通过的不进入下一阶段评审：</w:t>
      </w:r>
    </w:p>
    <w:p w14:paraId="773B9235">
      <w:pPr>
        <w:autoSpaceDE w:val="0"/>
        <w:autoSpaceDN w:val="0"/>
        <w:ind w:firstLine="482"/>
        <w:rPr>
          <w:b/>
        </w:rPr>
      </w:pPr>
      <w:r>
        <w:rPr>
          <w:b/>
        </w:rPr>
        <w:t>（一）初步评审</w:t>
      </w:r>
    </w:p>
    <w:p w14:paraId="058C140C">
      <w:pPr>
        <w:ind w:firstLine="470" w:firstLineChars="196"/>
      </w:pPr>
      <w:r>
        <w:rPr>
          <w:b/>
        </w:rPr>
        <w:t>1、资格审查</w:t>
      </w:r>
    </w:p>
    <w:p w14:paraId="5774954D">
      <w:pPr>
        <w:ind w:firstLine="470" w:firstLineChars="196"/>
      </w:pPr>
      <w:r>
        <w:t>评标委员会对所有参加投标的投标人的资格对照招标文件资格后审要求提供的资料进行审查，只有通过资格审查的投标人方可进行下一阶段的评审。审查以投标人提供的下列资料为准：</w:t>
      </w:r>
    </w:p>
    <w:p w14:paraId="6605B772">
      <w:pPr>
        <w:numPr>
          <w:ilvl w:val="0"/>
          <w:numId w:val="2"/>
        </w:numPr>
        <w:ind w:firstLine="470" w:firstLineChars="196"/>
        <w:rPr>
          <w:b/>
          <w:bCs/>
        </w:rPr>
      </w:pPr>
      <w:r>
        <w:rPr>
          <w:b/>
          <w:bCs/>
        </w:rPr>
        <w:t>投标人有效的营业执照复印件（加盖投标单位公章）。</w:t>
      </w:r>
    </w:p>
    <w:p w14:paraId="72DE30ED">
      <w:pPr>
        <w:numPr>
          <w:ilvl w:val="0"/>
          <w:numId w:val="2"/>
        </w:numPr>
        <w:ind w:firstLine="470" w:firstLineChars="196"/>
        <w:rPr>
          <w:b/>
          <w:bCs/>
        </w:rPr>
      </w:pPr>
      <w:r>
        <w:rPr>
          <w:rFonts w:hint="eastAsia"/>
          <w:b/>
          <w:bCs/>
        </w:rPr>
        <w:t>投标人业绩证明合同、确权登记证、价值评估报告等相关证明材料</w:t>
      </w:r>
    </w:p>
    <w:p w14:paraId="325CC970">
      <w:pPr>
        <w:ind w:firstLine="480"/>
        <w:rPr>
          <w:bCs/>
        </w:rPr>
      </w:pPr>
      <w:r>
        <w:rPr>
          <w:bCs/>
        </w:rPr>
        <w:t>评标委员会对上述资料进行审查，未提交上述资料或资料不全的，不予通过资格审查。</w:t>
      </w:r>
    </w:p>
    <w:p w14:paraId="440695AA">
      <w:pPr>
        <w:autoSpaceDE w:val="0"/>
        <w:autoSpaceDN w:val="0"/>
        <w:ind w:firstLine="482"/>
        <w:rPr>
          <w:b/>
        </w:rPr>
      </w:pPr>
      <w:r>
        <w:rPr>
          <w:b/>
        </w:rPr>
        <w:t>（</w:t>
      </w:r>
      <w:r>
        <w:rPr>
          <w:rFonts w:hint="eastAsia"/>
          <w:b/>
        </w:rPr>
        <w:t>二</w:t>
      </w:r>
      <w:r>
        <w:rPr>
          <w:b/>
        </w:rPr>
        <w:t>）</w:t>
      </w:r>
      <w:r>
        <w:rPr>
          <w:rFonts w:hint="eastAsia"/>
          <w:b/>
        </w:rPr>
        <w:t>详细评审</w:t>
      </w:r>
    </w:p>
    <w:tbl>
      <w:tblPr>
        <w:tblStyle w:val="9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992"/>
        <w:gridCol w:w="6258"/>
      </w:tblGrid>
      <w:tr w14:paraId="313D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120" w:type="pct"/>
            <w:vAlign w:val="center"/>
          </w:tcPr>
          <w:p w14:paraId="084998B1">
            <w:pPr>
              <w:jc w:val="center"/>
              <w:rPr>
                <w:b/>
                <w:bCs/>
                <w:sz w:val="21"/>
                <w:szCs w:val="21"/>
              </w:rPr>
            </w:pPr>
            <w:r>
              <w:rPr>
                <w:rFonts w:hint="eastAsia"/>
                <w:b/>
                <w:bCs/>
                <w:sz w:val="21"/>
                <w:szCs w:val="21"/>
              </w:rPr>
              <w:t>评标因素</w:t>
            </w:r>
          </w:p>
        </w:tc>
        <w:tc>
          <w:tcPr>
            <w:tcW w:w="531" w:type="pct"/>
            <w:vAlign w:val="center"/>
          </w:tcPr>
          <w:p w14:paraId="11750E41">
            <w:pPr>
              <w:jc w:val="center"/>
              <w:rPr>
                <w:b/>
                <w:bCs/>
                <w:sz w:val="21"/>
                <w:szCs w:val="21"/>
              </w:rPr>
            </w:pPr>
            <w:r>
              <w:rPr>
                <w:rFonts w:hint="eastAsia"/>
                <w:b/>
                <w:bCs/>
                <w:sz w:val="21"/>
                <w:szCs w:val="21"/>
              </w:rPr>
              <w:t>分值</w:t>
            </w:r>
          </w:p>
        </w:tc>
        <w:tc>
          <w:tcPr>
            <w:tcW w:w="3349" w:type="pct"/>
            <w:vAlign w:val="center"/>
          </w:tcPr>
          <w:p w14:paraId="63CC3136">
            <w:pPr>
              <w:jc w:val="center"/>
              <w:rPr>
                <w:b/>
                <w:bCs/>
                <w:sz w:val="21"/>
                <w:szCs w:val="21"/>
              </w:rPr>
            </w:pPr>
            <w:r>
              <w:rPr>
                <w:rFonts w:hint="eastAsia"/>
                <w:b/>
                <w:bCs/>
                <w:sz w:val="21"/>
                <w:szCs w:val="21"/>
              </w:rPr>
              <w:t>评分标准（要点）</w:t>
            </w:r>
          </w:p>
        </w:tc>
      </w:tr>
      <w:tr w14:paraId="0C0B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20" w:type="pct"/>
            <w:vAlign w:val="center"/>
          </w:tcPr>
          <w:p w14:paraId="6A95089A">
            <w:pPr>
              <w:jc w:val="both"/>
              <w:rPr>
                <w:sz w:val="21"/>
                <w:szCs w:val="21"/>
              </w:rPr>
            </w:pPr>
            <w:r>
              <w:rPr>
                <w:rFonts w:hint="eastAsia"/>
                <w:sz w:val="21"/>
                <w:szCs w:val="21"/>
              </w:rPr>
              <w:t>投标报价</w:t>
            </w:r>
          </w:p>
        </w:tc>
        <w:tc>
          <w:tcPr>
            <w:tcW w:w="531" w:type="pct"/>
            <w:vAlign w:val="center"/>
          </w:tcPr>
          <w:p w14:paraId="50DB211C">
            <w:pPr>
              <w:jc w:val="center"/>
              <w:rPr>
                <w:sz w:val="21"/>
                <w:szCs w:val="21"/>
              </w:rPr>
            </w:pPr>
            <w:r>
              <w:rPr>
                <w:rFonts w:hint="eastAsia"/>
                <w:sz w:val="21"/>
                <w:szCs w:val="21"/>
              </w:rPr>
              <w:t>30</w:t>
            </w:r>
          </w:p>
        </w:tc>
        <w:tc>
          <w:tcPr>
            <w:tcW w:w="3349" w:type="pct"/>
            <w:vAlign w:val="center"/>
          </w:tcPr>
          <w:p w14:paraId="458211B4">
            <w:pPr>
              <w:jc w:val="both"/>
              <w:rPr>
                <w:sz w:val="21"/>
                <w:szCs w:val="21"/>
              </w:rPr>
            </w:pPr>
            <w:r>
              <w:rPr>
                <w:rFonts w:hint="eastAsia"/>
                <w:sz w:val="21"/>
                <w:szCs w:val="21"/>
              </w:rPr>
              <w:t>评标基准价＝有效报价最低价；得分＝基准价÷投标报价×30</w:t>
            </w:r>
          </w:p>
        </w:tc>
      </w:tr>
      <w:tr w14:paraId="1905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120" w:type="pct"/>
            <w:vAlign w:val="center"/>
          </w:tcPr>
          <w:p w14:paraId="3A1B8739">
            <w:pPr>
              <w:jc w:val="both"/>
              <w:rPr>
                <w:sz w:val="21"/>
                <w:szCs w:val="21"/>
              </w:rPr>
            </w:pPr>
            <w:r>
              <w:rPr>
                <w:rFonts w:hint="eastAsia"/>
                <w:sz w:val="21"/>
                <w:szCs w:val="21"/>
              </w:rPr>
              <w:t>数据资源盘点与顶层设计</w:t>
            </w:r>
          </w:p>
        </w:tc>
        <w:tc>
          <w:tcPr>
            <w:tcW w:w="531" w:type="pct"/>
            <w:vAlign w:val="center"/>
          </w:tcPr>
          <w:p w14:paraId="2008EEA6">
            <w:pPr>
              <w:jc w:val="center"/>
              <w:rPr>
                <w:sz w:val="21"/>
                <w:szCs w:val="21"/>
              </w:rPr>
            </w:pPr>
            <w:r>
              <w:rPr>
                <w:rFonts w:hint="eastAsia"/>
                <w:sz w:val="21"/>
                <w:szCs w:val="21"/>
              </w:rPr>
              <w:t>12</w:t>
            </w:r>
          </w:p>
        </w:tc>
        <w:tc>
          <w:tcPr>
            <w:tcW w:w="3349" w:type="pct"/>
            <w:vAlign w:val="center"/>
          </w:tcPr>
          <w:p w14:paraId="3662EEBF">
            <w:pPr>
              <w:jc w:val="both"/>
              <w:rPr>
                <w:sz w:val="21"/>
                <w:szCs w:val="21"/>
              </w:rPr>
            </w:pPr>
            <w:r>
              <w:rPr>
                <w:rFonts w:hint="eastAsia"/>
                <w:sz w:val="21"/>
                <w:szCs w:val="21"/>
              </w:rPr>
              <w:t>对教育文体业务数据资源的理解、盘点方法、战略目标分解与商业模式设计</w:t>
            </w:r>
          </w:p>
        </w:tc>
      </w:tr>
      <w:tr w14:paraId="0A29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120" w:type="pct"/>
            <w:vAlign w:val="center"/>
          </w:tcPr>
          <w:p w14:paraId="3648FBEF">
            <w:pPr>
              <w:jc w:val="both"/>
              <w:rPr>
                <w:sz w:val="21"/>
                <w:szCs w:val="21"/>
              </w:rPr>
            </w:pPr>
            <w:r>
              <w:rPr>
                <w:rFonts w:hint="eastAsia"/>
                <w:sz w:val="21"/>
                <w:szCs w:val="21"/>
              </w:rPr>
              <w:t>数据产品开发与确权登记方案</w:t>
            </w:r>
          </w:p>
        </w:tc>
        <w:tc>
          <w:tcPr>
            <w:tcW w:w="531" w:type="pct"/>
            <w:vAlign w:val="center"/>
          </w:tcPr>
          <w:p w14:paraId="3828195E">
            <w:pPr>
              <w:jc w:val="center"/>
              <w:rPr>
                <w:sz w:val="21"/>
                <w:szCs w:val="21"/>
              </w:rPr>
            </w:pPr>
            <w:r>
              <w:rPr>
                <w:rFonts w:hint="eastAsia"/>
                <w:sz w:val="21"/>
                <w:szCs w:val="21"/>
              </w:rPr>
              <w:t>15</w:t>
            </w:r>
          </w:p>
        </w:tc>
        <w:tc>
          <w:tcPr>
            <w:tcW w:w="3349" w:type="pct"/>
            <w:vAlign w:val="center"/>
          </w:tcPr>
          <w:p w14:paraId="6D0DA246">
            <w:pPr>
              <w:jc w:val="both"/>
              <w:rPr>
                <w:sz w:val="21"/>
                <w:szCs w:val="21"/>
              </w:rPr>
            </w:pPr>
            <w:r>
              <w:rPr>
                <w:rFonts w:hint="eastAsia"/>
                <w:sz w:val="21"/>
                <w:szCs w:val="21"/>
              </w:rPr>
              <w:t>拟开发产品清单与场景价值、确权路径、评估方法、合规措施</w:t>
            </w:r>
          </w:p>
        </w:tc>
      </w:tr>
      <w:tr w14:paraId="2C24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20" w:type="pct"/>
            <w:vAlign w:val="center"/>
          </w:tcPr>
          <w:p w14:paraId="60AC93DF">
            <w:pPr>
              <w:jc w:val="both"/>
              <w:rPr>
                <w:sz w:val="21"/>
                <w:szCs w:val="21"/>
              </w:rPr>
            </w:pPr>
            <w:r>
              <w:rPr>
                <w:rFonts w:hint="eastAsia"/>
                <w:sz w:val="21"/>
                <w:szCs w:val="21"/>
              </w:rPr>
              <w:t>实施计划与保障</w:t>
            </w:r>
          </w:p>
        </w:tc>
        <w:tc>
          <w:tcPr>
            <w:tcW w:w="531" w:type="pct"/>
            <w:vAlign w:val="center"/>
          </w:tcPr>
          <w:p w14:paraId="28A94F82">
            <w:pPr>
              <w:jc w:val="center"/>
              <w:rPr>
                <w:rFonts w:hint="eastAsia"/>
                <w:sz w:val="21"/>
                <w:szCs w:val="21"/>
              </w:rPr>
            </w:pPr>
            <w:r>
              <w:rPr>
                <w:rFonts w:hint="eastAsia"/>
                <w:sz w:val="21"/>
                <w:szCs w:val="21"/>
              </w:rPr>
              <w:t>13</w:t>
            </w:r>
          </w:p>
        </w:tc>
        <w:tc>
          <w:tcPr>
            <w:tcW w:w="3349" w:type="pct"/>
            <w:vAlign w:val="center"/>
          </w:tcPr>
          <w:p w14:paraId="625B2347">
            <w:pPr>
              <w:jc w:val="both"/>
              <w:rPr>
                <w:sz w:val="21"/>
                <w:szCs w:val="21"/>
              </w:rPr>
            </w:pPr>
            <w:r>
              <w:rPr>
                <w:rFonts w:hint="eastAsia"/>
                <w:sz w:val="21"/>
                <w:szCs w:val="21"/>
              </w:rPr>
              <w:t>里程碑节点、团队配置、风险应对</w:t>
            </w:r>
          </w:p>
        </w:tc>
      </w:tr>
      <w:tr w14:paraId="75F7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120" w:type="pct"/>
            <w:vAlign w:val="center"/>
          </w:tcPr>
          <w:p w14:paraId="2D387FE6">
            <w:pPr>
              <w:jc w:val="both"/>
              <w:rPr>
                <w:sz w:val="21"/>
                <w:szCs w:val="21"/>
              </w:rPr>
            </w:pPr>
            <w:r>
              <w:rPr>
                <w:rFonts w:hint="eastAsia"/>
                <w:sz w:val="21"/>
                <w:szCs w:val="21"/>
              </w:rPr>
              <w:t>类似业绩</w:t>
            </w:r>
          </w:p>
        </w:tc>
        <w:tc>
          <w:tcPr>
            <w:tcW w:w="531" w:type="pct"/>
            <w:vAlign w:val="center"/>
          </w:tcPr>
          <w:p w14:paraId="32E21C82">
            <w:pPr>
              <w:jc w:val="center"/>
              <w:rPr>
                <w:sz w:val="21"/>
                <w:szCs w:val="21"/>
              </w:rPr>
            </w:pPr>
            <w:r>
              <w:rPr>
                <w:rFonts w:hint="eastAsia"/>
                <w:sz w:val="21"/>
                <w:szCs w:val="21"/>
              </w:rPr>
              <w:t>12</w:t>
            </w:r>
          </w:p>
        </w:tc>
        <w:tc>
          <w:tcPr>
            <w:tcW w:w="3349" w:type="pct"/>
            <w:vAlign w:val="center"/>
          </w:tcPr>
          <w:p w14:paraId="5A057944">
            <w:pPr>
              <w:jc w:val="both"/>
              <w:rPr>
                <w:sz w:val="21"/>
                <w:szCs w:val="21"/>
              </w:rPr>
            </w:pPr>
            <w:r>
              <w:rPr>
                <w:rFonts w:hint="eastAsia"/>
                <w:sz w:val="21"/>
                <w:szCs w:val="21"/>
              </w:rPr>
              <w:t>国企数据资产案例每个 4 分（上限 12 分）</w:t>
            </w:r>
          </w:p>
        </w:tc>
      </w:tr>
      <w:tr w14:paraId="7097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20" w:type="pct"/>
            <w:vAlign w:val="center"/>
          </w:tcPr>
          <w:p w14:paraId="64BF5E48">
            <w:pPr>
              <w:jc w:val="both"/>
              <w:rPr>
                <w:sz w:val="21"/>
                <w:szCs w:val="21"/>
              </w:rPr>
            </w:pPr>
            <w:r>
              <w:rPr>
                <w:rFonts w:hint="eastAsia"/>
                <w:sz w:val="21"/>
                <w:szCs w:val="21"/>
              </w:rPr>
              <w:t>团队资质</w:t>
            </w:r>
          </w:p>
        </w:tc>
        <w:tc>
          <w:tcPr>
            <w:tcW w:w="531" w:type="pct"/>
            <w:vAlign w:val="center"/>
          </w:tcPr>
          <w:p w14:paraId="792EA71F">
            <w:pPr>
              <w:jc w:val="center"/>
              <w:rPr>
                <w:rFonts w:hint="eastAsia"/>
                <w:sz w:val="21"/>
                <w:szCs w:val="21"/>
              </w:rPr>
            </w:pPr>
            <w:r>
              <w:rPr>
                <w:rFonts w:hint="eastAsia"/>
                <w:sz w:val="21"/>
                <w:szCs w:val="21"/>
              </w:rPr>
              <w:t>13</w:t>
            </w:r>
          </w:p>
        </w:tc>
        <w:tc>
          <w:tcPr>
            <w:tcW w:w="3349" w:type="pct"/>
            <w:vAlign w:val="center"/>
          </w:tcPr>
          <w:p w14:paraId="65FFF482">
            <w:pPr>
              <w:jc w:val="both"/>
              <w:rPr>
                <w:sz w:val="21"/>
                <w:szCs w:val="21"/>
              </w:rPr>
            </w:pPr>
            <w:r>
              <w:rPr>
                <w:rFonts w:hint="eastAsia"/>
                <w:sz w:val="21"/>
                <w:szCs w:val="21"/>
              </w:rPr>
              <w:t>具有数据产品开发/数据质量评估等资质</w:t>
            </w:r>
          </w:p>
        </w:tc>
      </w:tr>
      <w:tr w14:paraId="229B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120" w:type="pct"/>
            <w:vAlign w:val="center"/>
          </w:tcPr>
          <w:p w14:paraId="42653A58">
            <w:pPr>
              <w:jc w:val="both"/>
              <w:rPr>
                <w:sz w:val="21"/>
                <w:szCs w:val="21"/>
              </w:rPr>
            </w:pPr>
            <w:r>
              <w:rPr>
                <w:rFonts w:hint="eastAsia"/>
                <w:sz w:val="21"/>
                <w:szCs w:val="21"/>
              </w:rPr>
              <w:t>服务承诺</w:t>
            </w:r>
          </w:p>
        </w:tc>
        <w:tc>
          <w:tcPr>
            <w:tcW w:w="531" w:type="pct"/>
            <w:vAlign w:val="center"/>
          </w:tcPr>
          <w:p w14:paraId="7DAC69B6">
            <w:pPr>
              <w:jc w:val="center"/>
              <w:rPr>
                <w:sz w:val="21"/>
                <w:szCs w:val="21"/>
              </w:rPr>
            </w:pPr>
            <w:r>
              <w:rPr>
                <w:rFonts w:hint="eastAsia"/>
                <w:sz w:val="21"/>
                <w:szCs w:val="21"/>
              </w:rPr>
              <w:t>5</w:t>
            </w:r>
          </w:p>
        </w:tc>
        <w:tc>
          <w:tcPr>
            <w:tcW w:w="3349" w:type="pct"/>
            <w:vAlign w:val="center"/>
          </w:tcPr>
          <w:p w14:paraId="49FB5BA5">
            <w:pPr>
              <w:jc w:val="both"/>
              <w:rPr>
                <w:sz w:val="21"/>
                <w:szCs w:val="21"/>
              </w:rPr>
            </w:pPr>
            <w:r>
              <w:rPr>
                <w:rFonts w:hint="eastAsia"/>
                <w:sz w:val="21"/>
                <w:szCs w:val="21"/>
              </w:rPr>
              <w:t>响应速度、驻场安排、成果修改承诺</w:t>
            </w:r>
          </w:p>
        </w:tc>
      </w:tr>
    </w:tbl>
    <w:p w14:paraId="48E6855F">
      <w:pPr>
        <w:ind w:firstLine="482"/>
        <w:rPr>
          <w:b/>
        </w:rPr>
      </w:pPr>
      <w:r>
        <w:rPr>
          <w:b/>
        </w:rPr>
        <w:t>2、符合性评审</w:t>
      </w:r>
    </w:p>
    <w:p w14:paraId="5D37D853">
      <w:pPr>
        <w:ind w:firstLine="480"/>
        <w:rPr>
          <w:iCs/>
        </w:rPr>
      </w:pPr>
      <w:r>
        <w:rPr>
          <w:iCs/>
        </w:rPr>
        <w:t>依据招标文件的规定，从投标文件的有效性、完整性和对招标文件的响应程度进行审查，以确定是否对招标文件的实质性要求作出响应。</w:t>
      </w:r>
    </w:p>
    <w:p w14:paraId="54935808">
      <w:pPr>
        <w:spacing w:line="440" w:lineRule="exact"/>
        <w:ind w:firstLine="482"/>
        <w:outlineLvl w:val="1"/>
      </w:pPr>
      <w:bookmarkStart w:id="346" w:name="_Toc16636"/>
      <w:bookmarkStart w:id="347" w:name="_Toc68108412"/>
      <w:r>
        <w:rPr>
          <w:b/>
          <w:bCs/>
        </w:rPr>
        <w:t>三、其它</w:t>
      </w:r>
      <w:bookmarkEnd w:id="346"/>
      <w:bookmarkEnd w:id="347"/>
    </w:p>
    <w:p w14:paraId="4E879CE0">
      <w:pPr>
        <w:spacing w:line="440" w:lineRule="exact"/>
        <w:ind w:firstLine="480"/>
      </w:pPr>
      <w:r>
        <w:t>1、投标报价有算术错误的，评标委员会按以下原则对投标报价进行修正，修正的价格经投标人书面确认后具有约束力。</w:t>
      </w:r>
    </w:p>
    <w:p w14:paraId="10141A80">
      <w:pPr>
        <w:spacing w:line="440" w:lineRule="exact"/>
        <w:ind w:firstLine="480"/>
      </w:pPr>
      <w:r>
        <w:t>（1）投标文件中的大写金额与小写金额不一致的，以大写金额为准；</w:t>
      </w:r>
    </w:p>
    <w:p w14:paraId="3746E7E1">
      <w:pPr>
        <w:spacing w:line="440" w:lineRule="exact"/>
        <w:ind w:firstLine="480"/>
      </w:pPr>
      <w:r>
        <w:t>（2）总价金额与依据单价计算出的结果不一致的，以单价金额为准修正总价，但单价金额小数点有明显错误的除外。</w:t>
      </w:r>
    </w:p>
    <w:p w14:paraId="1F900BFA">
      <w:pPr>
        <w:tabs>
          <w:tab w:val="left" w:pos="916"/>
          <w:tab w:val="left" w:pos="1832"/>
          <w:tab w:val="left" w:pos="2748"/>
          <w:tab w:val="left" w:pos="3664"/>
          <w:tab w:val="left" w:pos="4580"/>
          <w:tab w:val="left" w:pos="5496"/>
          <w:tab w:val="left" w:pos="6412"/>
          <w:tab w:val="left" w:pos="7328"/>
          <w:tab w:val="left" w:pos="7380"/>
          <w:tab w:val="left" w:pos="8640"/>
          <w:tab w:val="left" w:pos="9160"/>
          <w:tab w:val="left" w:pos="9418"/>
          <w:tab w:val="left" w:pos="10992"/>
          <w:tab w:val="left" w:pos="11908"/>
          <w:tab w:val="left" w:pos="12824"/>
          <w:tab w:val="left" w:pos="13740"/>
          <w:tab w:val="left" w:pos="14656"/>
        </w:tabs>
        <w:spacing w:line="440" w:lineRule="exact"/>
        <w:ind w:left="1" w:right="-4" w:rightChars="-2" w:firstLine="480"/>
      </w:pPr>
      <w:r>
        <w:t>2、对不中标的候选人，招标人有权不作任何解释。</w:t>
      </w:r>
    </w:p>
    <w:p w14:paraId="720BD0F4">
      <w:pPr>
        <w:autoSpaceDE w:val="0"/>
        <w:autoSpaceDN w:val="0"/>
        <w:spacing w:line="440" w:lineRule="exact"/>
        <w:ind w:firstLine="480"/>
      </w:pPr>
      <w:r>
        <w:t>3、本办法未述及的事宜，由评标委员会依据法律法规处置。</w:t>
      </w:r>
    </w:p>
    <w:p w14:paraId="2DE11290">
      <w:pPr>
        <w:spacing w:line="440" w:lineRule="exact"/>
        <w:ind w:firstLine="480"/>
      </w:pPr>
      <w:r>
        <w:t>4、经审查为虚假材料的，按相关法律、法规要求作</w:t>
      </w:r>
      <w:r>
        <w:rPr>
          <w:rFonts w:hint="eastAsia"/>
        </w:rPr>
        <w:t>无效</w:t>
      </w:r>
      <w:r>
        <w:t>标处理。</w:t>
      </w:r>
    </w:p>
    <w:p w14:paraId="7216AF4C">
      <w:pPr>
        <w:pStyle w:val="2"/>
        <w:pageBreakBefore/>
        <w:widowControl/>
        <w:ind w:firstLine="0" w:firstLineChars="0"/>
        <w:jc w:val="center"/>
        <w:rPr>
          <w:sz w:val="44"/>
          <w:highlight w:val="none"/>
        </w:rPr>
      </w:pPr>
      <w:bookmarkStart w:id="348" w:name="_Toc11382"/>
      <w:bookmarkStart w:id="349" w:name="_Toc511387423"/>
      <w:bookmarkStart w:id="350" w:name="_Toc496096249"/>
      <w:bookmarkStart w:id="351" w:name="_Toc68108434"/>
      <w:bookmarkStart w:id="352" w:name="_Toc23543"/>
      <w:bookmarkStart w:id="353" w:name="_Toc152045598"/>
      <w:bookmarkStart w:id="354" w:name="_Toc247085756"/>
      <w:bookmarkStart w:id="355" w:name="_Toc179632616"/>
      <w:bookmarkStart w:id="356" w:name="_Toc152042375"/>
      <w:bookmarkStart w:id="357" w:name="_Toc246996984"/>
      <w:bookmarkStart w:id="358" w:name="_Toc144974565"/>
      <w:bookmarkStart w:id="359" w:name="_Toc28937"/>
      <w:bookmarkStart w:id="360" w:name="_Toc496096240"/>
      <w:bookmarkStart w:id="361" w:name="_Toc246996241"/>
      <w:r>
        <w:rPr>
          <w:sz w:val="44"/>
          <w:highlight w:val="none"/>
        </w:rPr>
        <w:t>第四章  合同条款及格式</w:t>
      </w:r>
      <w:bookmarkEnd w:id="348"/>
    </w:p>
    <w:p w14:paraId="10B37DCC">
      <w:pPr>
        <w:wordWrap w:val="0"/>
        <w:spacing w:before="312" w:beforeLines="100"/>
        <w:jc w:val="right"/>
        <w:rPr>
          <w:sz w:val="32"/>
          <w:szCs w:val="32"/>
          <w:u w:val="single"/>
        </w:rPr>
      </w:pPr>
      <w:bookmarkStart w:id="362" w:name="_Hlk169530679"/>
      <w:r>
        <w:rPr>
          <w:sz w:val="32"/>
          <w:szCs w:val="32"/>
        </w:rPr>
        <w:t>合同编号</w:t>
      </w:r>
      <w:r>
        <w:rPr>
          <w:rFonts w:hint="eastAsia"/>
          <w:sz w:val="32"/>
          <w:szCs w:val="32"/>
        </w:rPr>
        <w:t>：</w:t>
      </w:r>
      <w:r>
        <w:rPr>
          <w:rFonts w:hint="eastAsia"/>
          <w:sz w:val="32"/>
          <w:szCs w:val="32"/>
          <w:u w:val="single"/>
        </w:rPr>
        <w:t xml:space="preserve"> </w:t>
      </w:r>
      <w:r>
        <w:rPr>
          <w:sz w:val="32"/>
          <w:szCs w:val="32"/>
          <w:u w:val="single"/>
        </w:rPr>
        <w:t xml:space="preserve">                  </w:t>
      </w:r>
    </w:p>
    <w:p w14:paraId="3A979096">
      <w:pPr>
        <w:spacing w:before="156" w:beforeLines="50" w:after="156" w:afterLines="50"/>
        <w:rPr>
          <w:szCs w:val="21"/>
          <w:u w:val="single"/>
        </w:rPr>
      </w:pPr>
    </w:p>
    <w:bookmarkEnd w:id="362"/>
    <w:p w14:paraId="1DA55743">
      <w:pPr>
        <w:spacing w:line="600" w:lineRule="exact"/>
        <w:ind w:firstLine="723"/>
        <w:jc w:val="center"/>
        <w:rPr>
          <w:b/>
          <w:sz w:val="36"/>
          <w:szCs w:val="36"/>
        </w:rPr>
      </w:pPr>
      <w:r>
        <w:rPr>
          <w:rFonts w:hint="eastAsia"/>
          <w:b/>
          <w:sz w:val="36"/>
          <w:szCs w:val="36"/>
        </w:rPr>
        <w:drawing>
          <wp:anchor distT="0" distB="0" distL="0" distR="0" simplePos="0" relativeHeight="251659264" behindDoc="1" locked="0" layoutInCell="1" allowOverlap="1">
            <wp:simplePos x="0" y="0"/>
            <wp:positionH relativeFrom="column">
              <wp:posOffset>4316095</wp:posOffset>
            </wp:positionH>
            <wp:positionV relativeFrom="paragraph">
              <wp:posOffset>449580</wp:posOffset>
            </wp:positionV>
            <wp:extent cx="6350" cy="457200"/>
            <wp:effectExtent l="0" t="0" r="0" b="0"/>
            <wp:wrapNone/>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13"/>
                    <a:stretch>
                      <a:fillRect/>
                    </a:stretch>
                  </pic:blipFill>
                  <pic:spPr>
                    <a:xfrm>
                      <a:off x="0" y="0"/>
                      <a:ext cx="6350" cy="457200"/>
                    </a:xfrm>
                    <a:prstGeom prst="rect">
                      <a:avLst/>
                    </a:prstGeom>
                  </pic:spPr>
                </pic:pic>
              </a:graphicData>
            </a:graphic>
          </wp:anchor>
        </w:drawing>
      </w:r>
      <w:r>
        <w:rPr>
          <w:rFonts w:hint="eastAsia"/>
          <w:b/>
          <w:sz w:val="36"/>
          <w:szCs w:val="36"/>
        </w:rPr>
        <w:t>宜宾市南溪区中和教育文体发展有限公司</w:t>
      </w:r>
    </w:p>
    <w:p w14:paraId="1829C55B">
      <w:pPr>
        <w:spacing w:line="600" w:lineRule="exact"/>
        <w:ind w:firstLine="723"/>
        <w:jc w:val="center"/>
        <w:rPr>
          <w:sz w:val="40"/>
          <w:szCs w:val="40"/>
        </w:rPr>
      </w:pPr>
      <w:r>
        <w:rPr>
          <w:rFonts w:hint="eastAsia"/>
          <w:b/>
          <w:sz w:val="36"/>
          <w:szCs w:val="36"/>
        </w:rPr>
        <w:t>2026年度数据资产增值服务项目</w:t>
      </w:r>
    </w:p>
    <w:p w14:paraId="1CDF019D">
      <w:pPr>
        <w:pStyle w:val="14"/>
        <w:spacing w:line="246" w:lineRule="auto"/>
        <w:ind w:firstLine="0" w:firstLineChars="0"/>
        <w:rPr>
          <w:rFonts w:ascii="宋体" w:hAnsi="宋体" w:cs="宋体"/>
        </w:rPr>
      </w:pPr>
    </w:p>
    <w:p w14:paraId="45ED4A97">
      <w:pPr>
        <w:pStyle w:val="14"/>
        <w:spacing w:line="246" w:lineRule="auto"/>
        <w:ind w:firstLine="420"/>
        <w:rPr>
          <w:rFonts w:ascii="宋体" w:hAnsi="宋体" w:cs="宋体"/>
        </w:rPr>
      </w:pPr>
    </w:p>
    <w:p w14:paraId="4E6EF3C4">
      <w:pPr>
        <w:pStyle w:val="14"/>
        <w:spacing w:line="246" w:lineRule="auto"/>
        <w:ind w:firstLine="0" w:firstLineChars="0"/>
        <w:rPr>
          <w:rFonts w:ascii="宋体" w:hAnsi="宋体" w:cs="宋体"/>
        </w:rPr>
      </w:pPr>
    </w:p>
    <w:p w14:paraId="48E39E55">
      <w:pPr>
        <w:pStyle w:val="14"/>
        <w:ind w:firstLine="1446"/>
        <w:jc w:val="center"/>
        <w:rPr>
          <w:rFonts w:ascii="宋体" w:hAnsi="宋体" w:cs="宋体"/>
          <w:b/>
          <w:bCs/>
          <w:sz w:val="72"/>
          <w:szCs w:val="72"/>
        </w:rPr>
      </w:pPr>
      <w:r>
        <w:rPr>
          <w:rFonts w:hint="eastAsia" w:ascii="宋体" w:hAnsi="宋体" w:cs="宋体"/>
          <w:b/>
          <w:bCs/>
          <w:sz w:val="72"/>
          <w:szCs w:val="72"/>
        </w:rPr>
        <w:t>服</w:t>
      </w:r>
    </w:p>
    <w:p w14:paraId="0DAC002A">
      <w:pPr>
        <w:pStyle w:val="14"/>
        <w:ind w:firstLine="1446"/>
        <w:jc w:val="center"/>
        <w:rPr>
          <w:rFonts w:ascii="宋体" w:hAnsi="宋体" w:cs="宋体"/>
          <w:b/>
          <w:bCs/>
          <w:sz w:val="72"/>
          <w:szCs w:val="72"/>
        </w:rPr>
      </w:pPr>
      <w:r>
        <w:rPr>
          <w:rFonts w:hint="eastAsia" w:ascii="宋体" w:hAnsi="宋体" w:cs="宋体"/>
          <w:b/>
          <w:bCs/>
          <w:sz w:val="72"/>
          <w:szCs w:val="72"/>
        </w:rPr>
        <w:t>务</w:t>
      </w:r>
    </w:p>
    <w:p w14:paraId="59646949">
      <w:pPr>
        <w:pStyle w:val="14"/>
        <w:ind w:firstLine="1446"/>
        <w:jc w:val="center"/>
        <w:rPr>
          <w:rFonts w:ascii="宋体" w:hAnsi="宋体" w:cs="宋体"/>
          <w:b/>
          <w:bCs/>
          <w:sz w:val="72"/>
          <w:szCs w:val="72"/>
        </w:rPr>
      </w:pPr>
      <w:r>
        <w:rPr>
          <w:rFonts w:hint="eastAsia" w:ascii="宋体" w:hAnsi="宋体" w:cs="宋体"/>
          <w:b/>
          <w:bCs/>
          <w:sz w:val="72"/>
          <w:szCs w:val="72"/>
        </w:rPr>
        <w:t>合</w:t>
      </w:r>
    </w:p>
    <w:p w14:paraId="0BE95A26">
      <w:pPr>
        <w:pStyle w:val="14"/>
        <w:ind w:firstLine="1446"/>
        <w:jc w:val="center"/>
        <w:rPr>
          <w:rFonts w:ascii="宋体" w:hAnsi="宋体" w:cs="宋体"/>
        </w:rPr>
      </w:pPr>
      <w:r>
        <w:rPr>
          <w:rFonts w:hint="eastAsia" w:ascii="宋体" w:hAnsi="宋体" w:cs="宋体"/>
          <w:b/>
          <w:bCs/>
          <w:sz w:val="72"/>
          <w:szCs w:val="72"/>
        </w:rPr>
        <w:t>同</w:t>
      </w:r>
    </w:p>
    <w:p w14:paraId="4862A65F">
      <w:pPr>
        <w:pStyle w:val="14"/>
        <w:spacing w:line="247" w:lineRule="auto"/>
        <w:ind w:firstLine="420"/>
        <w:rPr>
          <w:rFonts w:ascii="宋体" w:hAnsi="宋体" w:cs="宋体"/>
        </w:rPr>
      </w:pPr>
    </w:p>
    <w:p w14:paraId="4A3F2318">
      <w:pPr>
        <w:ind w:firstLine="1280" w:firstLineChars="400"/>
        <w:rPr>
          <w:b/>
          <w:bCs/>
          <w:spacing w:val="5"/>
          <w:sz w:val="22"/>
          <w:szCs w:val="22"/>
        </w:rPr>
      </w:pPr>
      <w:r>
        <w:rPr>
          <w:rFonts w:hint="eastAsia"/>
          <w:b/>
          <w:bCs/>
          <w:spacing w:val="5"/>
          <w:sz w:val="31"/>
          <w:szCs w:val="31"/>
        </w:rPr>
        <w:t>甲方：</w:t>
      </w:r>
      <w:r>
        <w:rPr>
          <w:rFonts w:hint="eastAsia"/>
          <w:b/>
          <w:sz w:val="28"/>
          <w:szCs w:val="28"/>
        </w:rPr>
        <w:t>宜宾市南溪区中和教育文体发展有限公司</w:t>
      </w:r>
    </w:p>
    <w:p w14:paraId="4E80AEB1">
      <w:pPr>
        <w:ind w:firstLine="1280" w:firstLineChars="400"/>
        <w:rPr>
          <w:b/>
          <w:bCs/>
          <w:spacing w:val="5"/>
          <w:sz w:val="31"/>
          <w:szCs w:val="31"/>
        </w:rPr>
      </w:pPr>
      <w:r>
        <w:rPr>
          <w:rFonts w:hint="eastAsia"/>
          <w:b/>
          <w:bCs/>
          <w:spacing w:val="5"/>
          <w:sz w:val="31"/>
          <w:szCs w:val="31"/>
        </w:rPr>
        <w:t>乙方：</w:t>
      </w:r>
    </w:p>
    <w:p w14:paraId="0F0940ED">
      <w:pPr>
        <w:jc w:val="center"/>
        <w:rPr>
          <w:b/>
          <w:bCs/>
          <w:spacing w:val="5"/>
          <w:sz w:val="28"/>
          <w:szCs w:val="28"/>
        </w:rPr>
      </w:pPr>
      <w:r>
        <w:rPr>
          <w:rFonts w:hint="eastAsia"/>
          <w:b/>
          <w:bCs/>
          <w:spacing w:val="5"/>
          <w:sz w:val="28"/>
          <w:szCs w:val="28"/>
        </w:rPr>
        <w:t>2026年10月</w:t>
      </w:r>
    </w:p>
    <w:p w14:paraId="2C83F643">
      <w:pPr>
        <w:ind w:firstLine="572"/>
        <w:rPr>
          <w:b/>
          <w:bCs/>
          <w:spacing w:val="5"/>
          <w:sz w:val="28"/>
          <w:szCs w:val="28"/>
        </w:rPr>
      </w:pPr>
      <w:r>
        <w:rPr>
          <w:rFonts w:hint="eastAsia"/>
          <w:b/>
          <w:bCs/>
          <w:spacing w:val="5"/>
          <w:sz w:val="28"/>
          <w:szCs w:val="28"/>
        </w:rPr>
        <w:br w:type="page"/>
      </w:r>
    </w:p>
    <w:p w14:paraId="359D88E1">
      <w:pPr>
        <w:kinsoku w:val="0"/>
        <w:spacing w:line="590" w:lineRule="exact"/>
        <w:ind w:firstLine="490"/>
        <w:textAlignment w:val="baseline"/>
        <w:rPr>
          <w:u w:val="single"/>
        </w:rPr>
      </w:pPr>
      <w:r>
        <w:rPr>
          <w:rFonts w:hint="eastAsia"/>
          <w:spacing w:val="5"/>
        </w:rPr>
        <w:t>甲方</w:t>
      </w:r>
      <w:r>
        <w:rPr>
          <w:rFonts w:hint="eastAsia"/>
          <w:spacing w:val="-24"/>
        </w:rPr>
        <w:t>：（</w:t>
      </w:r>
      <w:r>
        <w:rPr>
          <w:rFonts w:hint="eastAsia"/>
          <w:spacing w:val="5"/>
        </w:rPr>
        <w:t>买方）</w:t>
      </w:r>
      <w:r>
        <w:rPr>
          <w:rFonts w:hint="eastAsia"/>
          <w:u w:val="single"/>
        </w:rPr>
        <w:t>宜宾市南溪区中和教育文体发展有限公司</w:t>
      </w:r>
    </w:p>
    <w:p w14:paraId="714DEFB5">
      <w:pPr>
        <w:kinsoku w:val="0"/>
        <w:spacing w:line="590" w:lineRule="exact"/>
        <w:ind w:firstLine="480"/>
        <w:textAlignment w:val="baseline"/>
      </w:pPr>
      <w:r>
        <w:rPr>
          <w:rFonts w:hint="eastAsia"/>
        </w:rPr>
        <w:t>乙方：（卖方）</w:t>
      </w:r>
    </w:p>
    <w:p w14:paraId="70747AEE">
      <w:pPr>
        <w:kinsoku w:val="0"/>
        <w:spacing w:line="590" w:lineRule="exact"/>
        <w:ind w:firstLine="480"/>
        <w:textAlignment w:val="baseline"/>
      </w:pPr>
      <w:r>
        <w:rPr>
          <w:rFonts w:hint="eastAsia"/>
        </w:rPr>
        <w:t>根据《中华人民共和国民法典》的相关规定，遵循平等、</w:t>
      </w:r>
      <w:r>
        <w:rPr>
          <w:rFonts w:hint="eastAsia"/>
          <w:spacing w:val="5"/>
        </w:rPr>
        <w:t>自愿、公平和诚实信用的原则，双方就</w:t>
      </w:r>
      <w:r>
        <w:rPr>
          <w:rFonts w:hint="eastAsia"/>
          <w:spacing w:val="13"/>
        </w:rPr>
        <w:t>有关事项协商一</w:t>
      </w:r>
      <w:r>
        <w:rPr>
          <w:rFonts w:hint="eastAsia"/>
          <w:spacing w:val="-1"/>
        </w:rPr>
        <w:t>致，共同达成如下协议：</w:t>
      </w:r>
    </w:p>
    <w:p w14:paraId="58C118E3">
      <w:pPr>
        <w:kinsoku w:val="0"/>
        <w:spacing w:line="590" w:lineRule="exact"/>
        <w:ind w:left="564" w:leftChars="235" w:firstLine="490"/>
        <w:textAlignment w:val="baseline"/>
      </w:pPr>
      <w:r>
        <w:rPr>
          <w:rFonts w:hint="eastAsia"/>
          <w:b/>
          <w:bCs/>
          <w:spacing w:val="4"/>
          <w:position w:val="2"/>
        </w:rPr>
        <w:t>一、委托事项</w:t>
      </w:r>
    </w:p>
    <w:p w14:paraId="5188DE07">
      <w:pPr>
        <w:kinsoku w:val="0"/>
        <w:autoSpaceDE w:val="0"/>
        <w:autoSpaceDN w:val="0"/>
        <w:spacing w:line="590" w:lineRule="exact"/>
        <w:ind w:left="554" w:leftChars="231" w:firstLine="484"/>
        <w:textAlignment w:val="baseline"/>
      </w:pPr>
      <w:r>
        <w:rPr>
          <w:rFonts w:hint="eastAsia"/>
          <w:spacing w:val="2"/>
        </w:rPr>
        <w:t>1、项目名称：</w:t>
      </w:r>
      <w:r>
        <w:rPr>
          <w:rFonts w:hint="eastAsia"/>
          <w:spacing w:val="2"/>
          <w:u w:val="single"/>
        </w:rPr>
        <w:t>宜宾市南溪区中和教育文体发展有限公司数据资产增值服务项目</w:t>
      </w:r>
      <w:r>
        <w:rPr>
          <w:rFonts w:hint="eastAsia"/>
          <w:spacing w:val="2"/>
        </w:rPr>
        <w:t>。</w:t>
      </w:r>
    </w:p>
    <w:p w14:paraId="3C165ED4">
      <w:pPr>
        <w:kinsoku w:val="0"/>
        <w:autoSpaceDE w:val="0"/>
        <w:autoSpaceDN w:val="0"/>
        <w:spacing w:line="590" w:lineRule="exact"/>
        <w:ind w:left="518" w:leftChars="216" w:firstLine="466"/>
        <w:textAlignment w:val="baseline"/>
      </w:pPr>
      <w:r>
        <w:rPr>
          <w:rFonts w:hint="eastAsia"/>
          <w:spacing w:val="-7"/>
        </w:rPr>
        <w:t>2、项目地点：</w:t>
      </w:r>
      <w:r>
        <w:rPr>
          <w:rFonts w:hint="eastAsia"/>
          <w:spacing w:val="-7"/>
          <w:u w:val="single"/>
        </w:rPr>
        <w:t>宜宾市南溪区</w:t>
      </w:r>
      <w:r>
        <w:rPr>
          <w:rFonts w:hint="eastAsia"/>
          <w:spacing w:val="-7"/>
        </w:rPr>
        <w:t>。</w:t>
      </w:r>
    </w:p>
    <w:p w14:paraId="7476EAB4">
      <w:pPr>
        <w:kinsoku w:val="0"/>
        <w:autoSpaceDE w:val="0"/>
        <w:autoSpaceDN w:val="0"/>
        <w:spacing w:line="590" w:lineRule="exact"/>
        <w:ind w:firstLine="984" w:firstLineChars="400"/>
        <w:textAlignment w:val="baseline"/>
      </w:pPr>
      <w:r>
        <w:rPr>
          <w:rFonts w:hint="eastAsia"/>
          <w:spacing w:val="3"/>
        </w:rPr>
        <w:t>3、项目内容：乙方对</w:t>
      </w:r>
      <w:r>
        <w:rPr>
          <w:rFonts w:hint="eastAsia"/>
          <w:u w:val="single"/>
        </w:rPr>
        <w:t>宜宾市南溪区中和教育文体发展有限公司</w:t>
      </w:r>
      <w:r>
        <w:rPr>
          <w:rFonts w:hint="eastAsia"/>
          <w:spacing w:val="3"/>
        </w:rPr>
        <w:t>现有数据资产进行数据资产入表服务，主要服务内容包括：</w:t>
      </w:r>
    </w:p>
    <w:p w14:paraId="55C8E995">
      <w:pPr>
        <w:kinsoku w:val="0"/>
        <w:autoSpaceDE w:val="0"/>
        <w:autoSpaceDN w:val="0"/>
        <w:spacing w:line="590" w:lineRule="exact"/>
        <w:ind w:firstLine="470"/>
        <w:textAlignment w:val="baseline"/>
      </w:pPr>
      <w:r>
        <w:rPr>
          <w:rFonts w:hint="eastAsia" w:ascii="微软雅黑" w:hAnsi="微软雅黑" w:eastAsia="微软雅黑" w:cs="微软雅黑"/>
          <w:spacing w:val="-5"/>
        </w:rPr>
        <w:t>①</w:t>
      </w:r>
      <w:r>
        <w:rPr>
          <w:rFonts w:hint="eastAsia"/>
          <w:spacing w:val="-5"/>
        </w:rPr>
        <w:t>数据资产清查盘点：协助甲方开展数据资源排查、编制数据资源清单，对数据资源现状及质量情况分析，包括识别数据源、分类、统计规模，指导甲方记录数据收集、治理、提炼等关键环节，确保开发过程透明度和经济效益评估，建立持续入表管理机制，制定治理政策，提升数据质量与安全，出具</w:t>
      </w:r>
      <w:r>
        <w:rPr>
          <w:rFonts w:hint="eastAsia"/>
          <w:b/>
          <w:bCs/>
          <w:spacing w:val="-5"/>
        </w:rPr>
        <w:t>《数据资产盘点报告》</w:t>
      </w:r>
      <w:r>
        <w:rPr>
          <w:rFonts w:hint="eastAsia"/>
          <w:spacing w:val="-5"/>
        </w:rPr>
        <w:t>。</w:t>
      </w:r>
    </w:p>
    <w:p w14:paraId="169D13E7">
      <w:pPr>
        <w:kinsoku w:val="0"/>
        <w:autoSpaceDE w:val="0"/>
        <w:autoSpaceDN w:val="0"/>
        <w:spacing w:line="590" w:lineRule="exact"/>
        <w:ind w:firstLine="484"/>
        <w:textAlignment w:val="baseline"/>
      </w:pPr>
      <w:r>
        <w:rPr>
          <w:rFonts w:hint="eastAsia" w:ascii="微软雅黑" w:hAnsi="微软雅黑" w:eastAsia="微软雅黑" w:cs="微软雅黑"/>
          <w:spacing w:val="2"/>
        </w:rPr>
        <w:t>②</w:t>
      </w:r>
      <w:r>
        <w:rPr>
          <w:rFonts w:hint="eastAsia"/>
          <w:spacing w:val="2"/>
        </w:rPr>
        <w:t>数据资产场景规划：基于数据资产情况规划数据资产场景，分析产品数据资产利益流入，出具</w:t>
      </w:r>
      <w:r>
        <w:rPr>
          <w:rFonts w:hint="eastAsia"/>
          <w:b/>
          <w:bCs/>
          <w:spacing w:val="2"/>
        </w:rPr>
        <w:t>《数据资产场景规划报告》</w:t>
      </w:r>
      <w:r>
        <w:rPr>
          <w:rFonts w:hint="eastAsia"/>
          <w:spacing w:val="5"/>
        </w:rPr>
        <w:t>。</w:t>
      </w:r>
    </w:p>
    <w:p w14:paraId="449C5B75">
      <w:pPr>
        <w:kinsoku w:val="0"/>
        <w:autoSpaceDE w:val="0"/>
        <w:autoSpaceDN w:val="0"/>
        <w:spacing w:line="590" w:lineRule="exact"/>
        <w:ind w:firstLine="468"/>
        <w:textAlignment w:val="baseline"/>
      </w:pPr>
      <w:r>
        <w:rPr>
          <w:rFonts w:hint="eastAsia" w:ascii="微软雅黑" w:hAnsi="微软雅黑" w:eastAsia="微软雅黑" w:cs="微软雅黑"/>
          <w:spacing w:val="-6"/>
        </w:rPr>
        <w:t>③</w:t>
      </w:r>
      <w:r>
        <w:rPr>
          <w:rFonts w:hint="eastAsia"/>
          <w:spacing w:val="-6"/>
        </w:rPr>
        <w:t>数据资产合规：项目团队将深入调查企业数据资源的合规状况，调查数据整个生命周期都能够满足法律法规、规范性文件和技术标准的要求，出具</w:t>
      </w:r>
      <w:r>
        <w:rPr>
          <w:rFonts w:hint="eastAsia"/>
          <w:b/>
          <w:bCs/>
          <w:spacing w:val="-6"/>
        </w:rPr>
        <w:t>《数据产品合规评估法律意见书》</w:t>
      </w:r>
      <w:r>
        <w:rPr>
          <w:rFonts w:hint="eastAsia"/>
          <w:b/>
          <w:bCs/>
          <w:spacing w:val="7"/>
        </w:rPr>
        <w:t>。</w:t>
      </w:r>
    </w:p>
    <w:p w14:paraId="3965EB51">
      <w:pPr>
        <w:kinsoku w:val="0"/>
        <w:autoSpaceDE w:val="0"/>
        <w:autoSpaceDN w:val="0"/>
        <w:spacing w:line="590" w:lineRule="exact"/>
        <w:ind w:firstLine="482"/>
        <w:textAlignment w:val="baseline"/>
      </w:pPr>
      <w:r>
        <w:rPr>
          <w:rFonts w:hint="eastAsia"/>
          <w:spacing w:val="1"/>
        </w:rPr>
        <w:t>④数据质量评价：评估企业数据资产，对数据资源的可用价值进行全面评估。出具</w:t>
      </w:r>
      <w:r>
        <w:rPr>
          <w:rFonts w:hint="eastAsia"/>
          <w:b/>
          <w:bCs/>
          <w:spacing w:val="1"/>
        </w:rPr>
        <w:t>《数据质量评价报告》</w:t>
      </w:r>
      <w:r>
        <w:rPr>
          <w:rFonts w:hint="eastAsia"/>
          <w:spacing w:val="-4"/>
        </w:rPr>
        <w:t>。</w:t>
      </w:r>
    </w:p>
    <w:p w14:paraId="6C80C5EB">
      <w:pPr>
        <w:kinsoku w:val="0"/>
        <w:autoSpaceDE w:val="0"/>
        <w:autoSpaceDN w:val="0"/>
        <w:spacing w:line="590" w:lineRule="exact"/>
        <w:ind w:firstLine="484"/>
        <w:textAlignment w:val="baseline"/>
      </w:pPr>
      <w:r>
        <w:rPr>
          <w:rFonts w:hint="eastAsia" w:ascii="微软雅黑" w:hAnsi="微软雅黑" w:eastAsia="微软雅黑" w:cs="微软雅黑"/>
          <w:spacing w:val="2"/>
        </w:rPr>
        <w:t>⑤</w:t>
      </w:r>
      <w:r>
        <w:rPr>
          <w:rFonts w:hint="eastAsia"/>
          <w:spacing w:val="1"/>
        </w:rPr>
        <w:t>数据产品挂牌证书：在数据资产登记平台进行确权登记，并发放“</w:t>
      </w:r>
      <w:r>
        <w:rPr>
          <w:rFonts w:hint="eastAsia"/>
          <w:b/>
          <w:bCs/>
          <w:spacing w:val="1"/>
        </w:rPr>
        <w:t>数据产品挂牌证书</w:t>
      </w:r>
      <w:r>
        <w:rPr>
          <w:rFonts w:hint="eastAsia"/>
          <w:spacing w:val="1"/>
        </w:rPr>
        <w:t>”。</w:t>
      </w:r>
    </w:p>
    <w:p w14:paraId="2870F0AB">
      <w:pPr>
        <w:kinsoku w:val="0"/>
        <w:autoSpaceDE w:val="0"/>
        <w:autoSpaceDN w:val="0"/>
        <w:spacing w:line="590" w:lineRule="exact"/>
        <w:ind w:firstLine="484"/>
        <w:textAlignment w:val="baseline"/>
      </w:pPr>
      <w:r>
        <w:rPr>
          <w:rFonts w:hint="eastAsia" w:ascii="微软雅黑" w:hAnsi="微软雅黑" w:eastAsia="微软雅黑" w:cs="微软雅黑"/>
          <w:spacing w:val="2"/>
        </w:rPr>
        <w:t>⑥</w:t>
      </w:r>
      <w:r>
        <w:rPr>
          <w:rFonts w:hint="eastAsia"/>
          <w:spacing w:val="2"/>
        </w:rPr>
        <w:t>数据资产成本归集摊销和入表实施：根据企业的数据资源入表有关的成本归集的合规性、准确性及会计核算科目使用的规范性、数据资源摊销年限设置的合理性出具</w:t>
      </w:r>
      <w:r>
        <w:rPr>
          <w:rFonts w:hint="eastAsia"/>
          <w:b/>
          <w:bCs/>
          <w:spacing w:val="2"/>
        </w:rPr>
        <w:t>《数据资源入表专项报告》</w:t>
      </w:r>
      <w:r>
        <w:rPr>
          <w:rFonts w:hint="eastAsia"/>
          <w:spacing w:val="8"/>
        </w:rPr>
        <w:t>。</w:t>
      </w:r>
    </w:p>
    <w:p w14:paraId="149468F5">
      <w:pPr>
        <w:kinsoku w:val="0"/>
        <w:autoSpaceDE w:val="0"/>
        <w:autoSpaceDN w:val="0"/>
        <w:spacing w:line="590" w:lineRule="exact"/>
        <w:ind w:firstLine="476"/>
        <w:textAlignment w:val="baseline"/>
        <w:rPr>
          <w:rFonts w:hint="eastAsia"/>
          <w:spacing w:val="-2"/>
        </w:rPr>
      </w:pPr>
      <w:r>
        <w:rPr>
          <w:rFonts w:hint="eastAsia" w:ascii="微软雅黑" w:hAnsi="微软雅黑" w:eastAsia="微软雅黑" w:cs="微软雅黑"/>
          <w:spacing w:val="-2"/>
        </w:rPr>
        <w:t>⑦</w:t>
      </w:r>
      <w:r>
        <w:rPr>
          <w:rFonts w:hint="eastAsia"/>
          <w:spacing w:val="-2"/>
        </w:rPr>
        <w:t>价值评估：评估数据资产价值，出具价值咨询意见或者评估咨询报告。出具</w:t>
      </w:r>
      <w:r>
        <w:rPr>
          <w:rFonts w:hint="eastAsia"/>
          <w:b/>
          <w:bCs/>
          <w:spacing w:val="-2"/>
        </w:rPr>
        <w:t>《数据资产价值咨询报告》</w:t>
      </w:r>
      <w:r>
        <w:rPr>
          <w:rFonts w:hint="eastAsia"/>
          <w:spacing w:val="7"/>
        </w:rPr>
        <w:t>。</w:t>
      </w:r>
      <w:r>
        <w:rPr>
          <w:rFonts w:hint="eastAsia"/>
          <w:spacing w:val="7"/>
        </w:rPr>
        <w:br w:type="textWrapping"/>
      </w:r>
      <w:r>
        <w:rPr>
          <w:rFonts w:hint="eastAsia"/>
          <w:spacing w:val="7"/>
        </w:rPr>
        <w:t xml:space="preserve">   </w:t>
      </w:r>
      <w:r>
        <w:rPr>
          <w:rFonts w:hint="eastAsia" w:ascii="微软雅黑" w:hAnsi="微软雅黑" w:eastAsia="微软雅黑" w:cs="微软雅黑"/>
          <w:spacing w:val="-2"/>
        </w:rPr>
        <w:t>⑧</w:t>
      </w:r>
      <w:r>
        <w:rPr>
          <w:rFonts w:hint="eastAsia"/>
          <w:spacing w:val="-2"/>
        </w:rPr>
        <w:t>辅助财务部门数据资产入表管理：根据会计准则，确定数据资产的确认、计量和报告方法，协助企业完成数据资产会计处理，指导财务部门建立会计科目，对可入表的数据资源集进行数据资产的成本归集与分摊，方便财务部门进行常态化资产入表管理。</w:t>
      </w:r>
    </w:p>
    <w:p w14:paraId="6800C946">
      <w:pPr>
        <w:numPr>
          <w:ilvl w:val="0"/>
          <w:numId w:val="1"/>
        </w:numPr>
        <w:kinsoku w:val="0"/>
        <w:autoSpaceDE w:val="0"/>
        <w:autoSpaceDN w:val="0"/>
        <w:spacing w:line="590" w:lineRule="exact"/>
        <w:ind w:firstLine="496"/>
        <w:textAlignment w:val="baseline"/>
        <w:rPr>
          <w:spacing w:val="3"/>
        </w:rPr>
      </w:pPr>
      <w:r>
        <w:rPr>
          <w:rFonts w:hint="eastAsia"/>
          <w:spacing w:val="8"/>
        </w:rPr>
        <w:t>服务期：在签订合同后且甲方提供相关业务数</w:t>
      </w:r>
      <w:r>
        <w:rPr>
          <w:rFonts w:hint="eastAsia"/>
          <w:spacing w:val="3"/>
        </w:rPr>
        <w:t>据与财务数据后</w:t>
      </w:r>
      <w:r>
        <w:rPr>
          <w:rFonts w:hint="eastAsia"/>
          <w:b/>
          <w:bCs/>
          <w:spacing w:val="3"/>
        </w:rPr>
        <w:t>60</w:t>
      </w:r>
      <w:r>
        <w:rPr>
          <w:rFonts w:hint="eastAsia"/>
          <w:spacing w:val="3"/>
        </w:rPr>
        <w:t>日历天完成入表项目交付。</w:t>
      </w:r>
    </w:p>
    <w:p w14:paraId="523AFCA8">
      <w:pPr>
        <w:kinsoku w:val="0"/>
        <w:autoSpaceDE w:val="0"/>
        <w:autoSpaceDN w:val="0"/>
        <w:spacing w:line="590" w:lineRule="exact"/>
        <w:ind w:firstLine="494"/>
        <w:textAlignment w:val="baseline"/>
      </w:pPr>
      <w:r>
        <w:rPr>
          <w:rFonts w:hint="eastAsia"/>
          <w:b/>
          <w:bCs/>
          <w:spacing w:val="6"/>
          <w:position w:val="1"/>
        </w:rPr>
        <w:t>二、咨询的内容、形式和用途</w:t>
      </w:r>
    </w:p>
    <w:p w14:paraId="51FE99F5">
      <w:pPr>
        <w:kinsoku w:val="0"/>
        <w:autoSpaceDE w:val="0"/>
        <w:autoSpaceDN w:val="0"/>
        <w:spacing w:line="590" w:lineRule="exact"/>
        <w:ind w:firstLine="494"/>
        <w:textAlignment w:val="baseline"/>
        <w:rPr>
          <w:spacing w:val="-5"/>
        </w:rPr>
      </w:pPr>
      <w:r>
        <w:rPr>
          <w:rFonts w:hint="eastAsia"/>
          <w:spacing w:val="7"/>
        </w:rPr>
        <w:t>乙方根据国家、地区及行业的有关政策、法规及规范要</w:t>
      </w:r>
      <w:r>
        <w:rPr>
          <w:rFonts w:hint="eastAsia"/>
          <w:spacing w:val="-4"/>
        </w:rPr>
        <w:t>求，甲方配合协作，完成上述项目的数据资产入表</w:t>
      </w:r>
      <w:r>
        <w:rPr>
          <w:rFonts w:hint="eastAsia"/>
          <w:spacing w:val="-5"/>
        </w:rPr>
        <w:t>服务工作。</w:t>
      </w:r>
    </w:p>
    <w:p w14:paraId="25A10256">
      <w:pPr>
        <w:kinsoku w:val="0"/>
        <w:autoSpaceDE w:val="0"/>
        <w:autoSpaceDN w:val="0"/>
        <w:spacing w:line="590" w:lineRule="exact"/>
        <w:ind w:firstLine="492"/>
        <w:textAlignment w:val="baseline"/>
      </w:pPr>
      <w:r>
        <w:rPr>
          <w:rFonts w:hint="eastAsia"/>
          <w:b/>
          <w:bCs/>
          <w:spacing w:val="5"/>
          <w:position w:val="1"/>
        </w:rPr>
        <w:t>三、 双方权利与义务</w:t>
      </w:r>
    </w:p>
    <w:p w14:paraId="776B4B58">
      <w:pPr>
        <w:pStyle w:val="29"/>
        <w:spacing w:before="0" w:beforeAutospacing="0" w:after="0" w:afterAutospacing="0" w:line="590" w:lineRule="exact"/>
        <w:ind w:firstLine="480" w:firstLineChars="200"/>
      </w:pPr>
      <w:r>
        <w:rPr>
          <w:rFonts w:hint="eastAsia"/>
        </w:rPr>
        <w:t>3</w:t>
      </w:r>
      <w:r>
        <w:t xml:space="preserve">.1 </w:t>
      </w:r>
      <w:r>
        <w:rPr>
          <w:rStyle w:val="36"/>
        </w:rPr>
        <w:t>甲方义务</w:t>
      </w:r>
      <w:r>
        <w:t>：</w:t>
      </w:r>
    </w:p>
    <w:p w14:paraId="0ED65B1B">
      <w:pPr>
        <w:pStyle w:val="29"/>
        <w:spacing w:before="0" w:beforeAutospacing="0" w:after="0" w:afterAutospacing="0" w:line="590" w:lineRule="exact"/>
        <w:ind w:firstLine="480" w:firstLineChars="200"/>
      </w:pPr>
      <w:r>
        <w:rPr>
          <w:rFonts w:hint="eastAsia"/>
        </w:rPr>
        <w:t>（1）</w:t>
      </w:r>
      <w:r>
        <w:t xml:space="preserve"> 向乙方提供真实、完整、准确的基础资料；</w:t>
      </w:r>
    </w:p>
    <w:p w14:paraId="00999145">
      <w:pPr>
        <w:pStyle w:val="29"/>
        <w:spacing w:before="0" w:beforeAutospacing="0" w:after="0" w:afterAutospacing="0" w:line="590" w:lineRule="exact"/>
        <w:ind w:firstLine="480" w:firstLineChars="200"/>
      </w:pPr>
      <w:r>
        <w:rPr>
          <w:rFonts w:hint="eastAsia"/>
        </w:rPr>
        <w:t>（2）</w:t>
      </w:r>
      <w:r>
        <w:t xml:space="preserve"> 协调内部部门配合乙方</w:t>
      </w:r>
      <w:r>
        <w:rPr>
          <w:rFonts w:hint="eastAsia"/>
        </w:rPr>
        <w:t>项目工作</w:t>
      </w:r>
      <w:r>
        <w:t>；</w:t>
      </w:r>
    </w:p>
    <w:p w14:paraId="457C419F">
      <w:pPr>
        <w:pStyle w:val="29"/>
        <w:spacing w:before="0" w:beforeAutospacing="0" w:after="0" w:afterAutospacing="0" w:line="590" w:lineRule="exact"/>
        <w:ind w:firstLine="480" w:firstLineChars="200"/>
      </w:pPr>
      <w:r>
        <w:rPr>
          <w:rFonts w:hint="eastAsia"/>
        </w:rPr>
        <w:t>（3）</w:t>
      </w:r>
      <w:r>
        <w:t xml:space="preserve"> 按约定支付服务费用。</w:t>
      </w:r>
    </w:p>
    <w:p w14:paraId="271610B7">
      <w:pPr>
        <w:pStyle w:val="29"/>
        <w:spacing w:before="0" w:beforeAutospacing="0" w:after="0" w:afterAutospacing="0" w:line="590" w:lineRule="exact"/>
        <w:ind w:firstLine="480" w:firstLineChars="200"/>
      </w:pPr>
      <w:r>
        <w:rPr>
          <w:rFonts w:hint="eastAsia"/>
        </w:rPr>
        <w:t>3</w:t>
      </w:r>
      <w:r>
        <w:t xml:space="preserve">.2 </w:t>
      </w:r>
      <w:r>
        <w:rPr>
          <w:rStyle w:val="36"/>
        </w:rPr>
        <w:t>乙方义务</w:t>
      </w:r>
      <w:r>
        <w:t>：</w:t>
      </w:r>
    </w:p>
    <w:p w14:paraId="34818B3C">
      <w:pPr>
        <w:pStyle w:val="29"/>
        <w:spacing w:before="0" w:beforeAutospacing="0" w:after="0" w:afterAutospacing="0" w:line="590" w:lineRule="exact"/>
        <w:ind w:firstLine="480" w:firstLineChars="200"/>
      </w:pPr>
      <w:r>
        <w:rPr>
          <w:rFonts w:hint="eastAsia"/>
        </w:rPr>
        <w:t>（1）</w:t>
      </w:r>
      <w:r>
        <w:t xml:space="preserve"> 组建专业团队，勤勉尽责，确保服务成果符合中国现行法律法规及会计准则；</w:t>
      </w:r>
    </w:p>
    <w:p w14:paraId="07003D42">
      <w:pPr>
        <w:pStyle w:val="29"/>
        <w:spacing w:before="0" w:beforeAutospacing="0" w:after="0" w:afterAutospacing="0" w:line="590" w:lineRule="exact"/>
        <w:ind w:firstLine="480" w:firstLineChars="200"/>
      </w:pPr>
      <w:r>
        <w:rPr>
          <w:rFonts w:hint="eastAsia"/>
        </w:rPr>
        <w:t>（2）</w:t>
      </w:r>
      <w:r>
        <w:t xml:space="preserve"> 对在服务过程中知悉</w:t>
      </w:r>
      <w:r>
        <w:rPr>
          <w:rFonts w:hint="eastAsia"/>
        </w:rPr>
        <w:t>、获取</w:t>
      </w:r>
      <w:r>
        <w:t>的甲方</w:t>
      </w:r>
      <w:r>
        <w:rPr>
          <w:rFonts w:hint="eastAsia"/>
        </w:rPr>
        <w:t>及甲方客户</w:t>
      </w:r>
      <w:r>
        <w:t>商业秘密、技术秘密及数据信息</w:t>
      </w:r>
      <w:r>
        <w:rPr>
          <w:rFonts w:hint="eastAsia"/>
        </w:rPr>
        <w:t>等</w:t>
      </w:r>
      <w:r>
        <w:t>承担保密义务；</w:t>
      </w:r>
    </w:p>
    <w:p w14:paraId="077C8F1F">
      <w:pPr>
        <w:pStyle w:val="29"/>
        <w:spacing w:before="0" w:beforeAutospacing="0" w:after="0" w:afterAutospacing="0" w:line="590" w:lineRule="exact"/>
        <w:ind w:firstLine="480" w:firstLineChars="200"/>
      </w:pPr>
      <w:r>
        <w:rPr>
          <w:rFonts w:hint="eastAsia"/>
        </w:rPr>
        <w:t>（3）</w:t>
      </w:r>
      <w:r>
        <w:t xml:space="preserve"> 保证服务成果不侵犯任何第三方的知识产权。</w:t>
      </w:r>
    </w:p>
    <w:p w14:paraId="29E2E91F">
      <w:pPr>
        <w:kinsoku w:val="0"/>
        <w:autoSpaceDE w:val="0"/>
        <w:autoSpaceDN w:val="0"/>
        <w:spacing w:line="590" w:lineRule="exact"/>
        <w:ind w:firstLine="488"/>
        <w:textAlignment w:val="baseline"/>
      </w:pPr>
      <w:r>
        <w:rPr>
          <w:rFonts w:hint="eastAsia"/>
          <w:b/>
          <w:bCs/>
          <w:spacing w:val="3"/>
          <w:position w:val="1"/>
        </w:rPr>
        <w:t>四、验收及评价方法</w:t>
      </w:r>
    </w:p>
    <w:p w14:paraId="2C58FA60">
      <w:pPr>
        <w:kinsoku w:val="0"/>
        <w:autoSpaceDE w:val="0"/>
        <w:autoSpaceDN w:val="0"/>
        <w:spacing w:line="590" w:lineRule="exact"/>
        <w:ind w:firstLine="480"/>
        <w:textAlignment w:val="baseline"/>
      </w:pPr>
      <w:r>
        <w:rPr>
          <w:rFonts w:hint="eastAsia"/>
        </w:rPr>
        <w:t>交付服务成果满足项目要求的，采用甲方认可的方式验收，乙方根据合同要求出具全部成果文件后，由甲方出具验收证明。</w:t>
      </w:r>
    </w:p>
    <w:p w14:paraId="1014C0DB">
      <w:pPr>
        <w:kinsoku w:val="0"/>
        <w:autoSpaceDE w:val="0"/>
        <w:autoSpaceDN w:val="0"/>
        <w:spacing w:line="590" w:lineRule="exact"/>
        <w:ind w:firstLine="494"/>
        <w:textAlignment w:val="baseline"/>
      </w:pPr>
      <w:r>
        <w:rPr>
          <w:rFonts w:hint="eastAsia"/>
          <w:b/>
          <w:bCs/>
          <w:spacing w:val="6"/>
          <w:position w:val="1"/>
        </w:rPr>
        <w:t>五、咨询成果和版权归属</w:t>
      </w:r>
    </w:p>
    <w:p w14:paraId="68BDAFA1">
      <w:pPr>
        <w:pStyle w:val="24"/>
        <w:ind w:firstLine="480"/>
        <w:rPr>
          <w:rFonts w:ascii="宋体" w:hAnsi="宋体"/>
          <w:b w:val="0"/>
          <w:bCs w:val="0"/>
          <w:caps w:val="0"/>
          <w:sz w:val="24"/>
          <w:szCs w:val="24"/>
        </w:rPr>
      </w:pPr>
      <w:r>
        <w:rPr>
          <w:rFonts w:hint="eastAsia" w:ascii="宋体" w:hAnsi="宋体"/>
          <w:b w:val="0"/>
          <w:bCs w:val="0"/>
          <w:caps w:val="0"/>
          <w:sz w:val="24"/>
          <w:szCs w:val="24"/>
        </w:rPr>
        <w:t>未经对方允许，不得将对方的成果、版权向第三方转让，但双方仅为本协议项下项目和预定的目的使用与复制上述文件资料的除外。</w:t>
      </w:r>
    </w:p>
    <w:p w14:paraId="74C49533">
      <w:pPr>
        <w:kinsoku w:val="0"/>
        <w:autoSpaceDE w:val="0"/>
        <w:autoSpaceDN w:val="0"/>
        <w:spacing w:line="590" w:lineRule="exact"/>
        <w:ind w:firstLine="494"/>
        <w:textAlignment w:val="baseline"/>
      </w:pPr>
      <w:r>
        <w:rPr>
          <w:rFonts w:hint="eastAsia"/>
          <w:b/>
          <w:bCs/>
          <w:spacing w:val="6"/>
          <w:position w:val="1"/>
        </w:rPr>
        <w:t>六、合同价与合同价格形式</w:t>
      </w:r>
    </w:p>
    <w:p w14:paraId="5E83499C">
      <w:pPr>
        <w:kinsoku w:val="0"/>
        <w:autoSpaceDE w:val="0"/>
        <w:autoSpaceDN w:val="0"/>
        <w:spacing w:line="590" w:lineRule="exact"/>
        <w:ind w:firstLine="488"/>
        <w:textAlignment w:val="baseline"/>
        <w:rPr>
          <w:spacing w:val="4"/>
        </w:rPr>
      </w:pPr>
      <w:r>
        <w:rPr>
          <w:rFonts w:hint="eastAsia"/>
          <w:spacing w:val="4"/>
        </w:rPr>
        <w:t>本服务含税合同总价为人民币（大写）</w:t>
      </w:r>
      <w:r>
        <w:rPr>
          <w:rFonts w:hint="eastAsia"/>
          <w:spacing w:val="4"/>
          <w:u w:val="single"/>
        </w:rPr>
        <w:t xml:space="preserve">        </w:t>
      </w:r>
      <w:r>
        <w:rPr>
          <w:rFonts w:hint="eastAsia"/>
          <w:spacing w:val="-12"/>
        </w:rPr>
        <w:t>（小写￥</w:t>
      </w:r>
      <w:r>
        <w:rPr>
          <w:rFonts w:hint="eastAsia"/>
          <w:spacing w:val="-12"/>
          <w:u w:val="single"/>
        </w:rPr>
        <w:t xml:space="preserve">  </w:t>
      </w:r>
      <w:r>
        <w:rPr>
          <w:rFonts w:hint="eastAsia"/>
          <w:spacing w:val="-12"/>
        </w:rPr>
        <w:t>元</w:t>
      </w:r>
      <w:r>
        <w:rPr>
          <w:rFonts w:hint="eastAsia"/>
          <w:spacing w:val="-30"/>
        </w:rPr>
        <w:t>），</w:t>
      </w:r>
      <w:r>
        <w:rPr>
          <w:rFonts w:hint="eastAsia"/>
        </w:rPr>
        <w:t>税率6%</w:t>
      </w:r>
      <w:r>
        <w:rPr>
          <w:rFonts w:hint="eastAsia"/>
          <w:spacing w:val="-12"/>
        </w:rPr>
        <w:t>。</w:t>
      </w:r>
    </w:p>
    <w:p w14:paraId="767F64FE">
      <w:pPr>
        <w:kinsoku w:val="0"/>
        <w:autoSpaceDE w:val="0"/>
        <w:autoSpaceDN w:val="0"/>
        <w:spacing w:line="590" w:lineRule="exact"/>
        <w:ind w:firstLine="492"/>
        <w:textAlignment w:val="baseline"/>
      </w:pPr>
      <w:r>
        <w:rPr>
          <w:rFonts w:hint="eastAsia"/>
          <w:spacing w:val="6"/>
        </w:rPr>
        <w:t>注：本合同价是指为完成甲方委托本项目服务所</w:t>
      </w:r>
      <w:r>
        <w:rPr>
          <w:rFonts w:hint="eastAsia"/>
          <w:spacing w:val="5"/>
        </w:rPr>
        <w:t>需的全</w:t>
      </w:r>
      <w:r>
        <w:rPr>
          <w:rFonts w:hint="eastAsia"/>
          <w:spacing w:val="9"/>
        </w:rPr>
        <w:t>部费用。服务费用主要包括（但不限于）：完成本项目服务范</w:t>
      </w:r>
      <w:r>
        <w:rPr>
          <w:rFonts w:hint="eastAsia"/>
          <w:spacing w:val="-4"/>
        </w:rPr>
        <w:t>围内所有工作内容（包括本项目内人工费、交通费</w:t>
      </w:r>
      <w:r>
        <w:rPr>
          <w:rFonts w:hint="eastAsia"/>
          <w:spacing w:val="-5"/>
        </w:rPr>
        <w:t>、水电费、</w:t>
      </w:r>
      <w:r>
        <w:rPr>
          <w:rFonts w:hint="eastAsia"/>
          <w:spacing w:val="8"/>
        </w:rPr>
        <w:t>办公设备、用品费、食宿费、材料费、差旅费、专家评审费、运输费、税</w:t>
      </w:r>
      <w:r>
        <w:rPr>
          <w:rFonts w:hint="eastAsia"/>
          <w:spacing w:val="7"/>
        </w:rPr>
        <w:t>金、保险、风险、管理费、利润及政策性文件规定等所有服</w:t>
      </w:r>
      <w:r>
        <w:rPr>
          <w:rFonts w:hint="eastAsia"/>
          <w:spacing w:val="6"/>
        </w:rPr>
        <w:t>务范围内的工作内容）所需招标人支付的各项金额总和，以</w:t>
      </w:r>
      <w:r>
        <w:rPr>
          <w:rFonts w:hint="eastAsia"/>
          <w:spacing w:val="7"/>
        </w:rPr>
        <w:t>及成交供应商为完成上述内容所必须支付的材料、劳务、利</w:t>
      </w:r>
      <w:r>
        <w:rPr>
          <w:rFonts w:hint="eastAsia"/>
          <w:spacing w:val="1"/>
        </w:rPr>
        <w:t>润、税金等所需的全部费用，凡漏项或少计均视为优惠，甲</w:t>
      </w:r>
      <w:r>
        <w:rPr>
          <w:rFonts w:hint="eastAsia"/>
          <w:spacing w:val="4"/>
        </w:rPr>
        <w:t>方不另行增加费用。各类风险已包括在合同价中，最终结算</w:t>
      </w:r>
      <w:r>
        <w:rPr>
          <w:rFonts w:hint="eastAsia"/>
          <w:spacing w:val="7"/>
        </w:rPr>
        <w:t>时除合同约定调整外一律不予结算。</w:t>
      </w:r>
    </w:p>
    <w:p w14:paraId="25C701F3">
      <w:pPr>
        <w:kinsoku w:val="0"/>
        <w:autoSpaceDE w:val="0"/>
        <w:autoSpaceDN w:val="0"/>
        <w:spacing w:line="590" w:lineRule="exact"/>
        <w:ind w:firstLine="492"/>
        <w:textAlignment w:val="baseline"/>
      </w:pPr>
      <w:r>
        <w:rPr>
          <w:rFonts w:hint="eastAsia"/>
          <w:b/>
          <w:bCs/>
          <w:spacing w:val="5"/>
          <w:position w:val="1"/>
        </w:rPr>
        <w:t>七、付款方式及结算方式：</w:t>
      </w:r>
    </w:p>
    <w:p w14:paraId="02466034">
      <w:pPr>
        <w:kinsoku w:val="0"/>
        <w:autoSpaceDE w:val="0"/>
        <w:autoSpaceDN w:val="0"/>
        <w:spacing w:line="590" w:lineRule="exact"/>
        <w:ind w:firstLine="500"/>
        <w:textAlignment w:val="baseline"/>
        <w:rPr>
          <w:spacing w:val="10"/>
        </w:rPr>
      </w:pPr>
      <w:r>
        <w:rPr>
          <w:rFonts w:hint="eastAsia"/>
          <w:spacing w:val="10"/>
        </w:rPr>
        <w:t>1、付款方式：乙方完成所有服务内容，甲方取得数据产品挂牌证书且验收合格后30个工作日内，一次性结清。</w:t>
      </w:r>
    </w:p>
    <w:p w14:paraId="3C23B2A3">
      <w:pPr>
        <w:kinsoku w:val="0"/>
        <w:autoSpaceDE w:val="0"/>
        <w:autoSpaceDN w:val="0"/>
        <w:spacing w:line="590" w:lineRule="exact"/>
        <w:ind w:firstLine="500"/>
        <w:textAlignment w:val="baseline"/>
      </w:pPr>
      <w:r>
        <w:rPr>
          <w:rFonts w:hint="eastAsia"/>
          <w:spacing w:val="10"/>
        </w:rPr>
        <w:t>如因乙方原因导致未能取得登记证书/入表报告的，乙方应退还已收取的全部费用，并承担违约责任。</w:t>
      </w:r>
      <w:r>
        <w:rPr>
          <w:rFonts w:hint="eastAsia"/>
          <w:spacing w:val="2"/>
        </w:rPr>
        <w:t>注：以上付款一律通过银行结转，乙方提供</w:t>
      </w:r>
      <w:r>
        <w:rPr>
          <w:rFonts w:hint="eastAsia"/>
          <w:spacing w:val="1"/>
        </w:rPr>
        <w:t>相应的增值税发票。</w:t>
      </w:r>
    </w:p>
    <w:p w14:paraId="119669E0">
      <w:pPr>
        <w:numPr>
          <w:ilvl w:val="0"/>
          <w:numId w:val="3"/>
        </w:numPr>
        <w:kinsoku w:val="0"/>
        <w:autoSpaceDE w:val="0"/>
        <w:autoSpaceDN w:val="0"/>
        <w:spacing w:line="590" w:lineRule="exact"/>
        <w:ind w:firstLine="484"/>
        <w:textAlignment w:val="baseline"/>
      </w:pPr>
      <w:r>
        <w:rPr>
          <w:rFonts w:hint="eastAsia"/>
          <w:spacing w:val="2"/>
        </w:rPr>
        <w:t>结算方式：本项目采用固定总价合同，项目结</w:t>
      </w:r>
      <w:r>
        <w:rPr>
          <w:rFonts w:hint="eastAsia"/>
          <w:spacing w:val="1"/>
        </w:rPr>
        <w:t>算时，</w:t>
      </w:r>
      <w:r>
        <w:rPr>
          <w:rFonts w:hint="eastAsia"/>
          <w:spacing w:val="4"/>
        </w:rPr>
        <w:t>一律不调整合同价。</w:t>
      </w:r>
    </w:p>
    <w:p w14:paraId="1FBE7336">
      <w:pPr>
        <w:kinsoku w:val="0"/>
        <w:autoSpaceDE w:val="0"/>
        <w:autoSpaceDN w:val="0"/>
        <w:spacing w:line="590" w:lineRule="exact"/>
        <w:ind w:firstLine="496"/>
        <w:textAlignment w:val="baseline"/>
      </w:pPr>
      <w:r>
        <w:rPr>
          <w:rFonts w:hint="eastAsia"/>
          <w:b/>
          <w:bCs/>
          <w:spacing w:val="7"/>
          <w:position w:val="1"/>
        </w:rPr>
        <w:t>八、违约责任及损失赔偿额的计算</w:t>
      </w:r>
    </w:p>
    <w:p w14:paraId="0608D812">
      <w:pPr>
        <w:kinsoku w:val="0"/>
        <w:autoSpaceDE w:val="0"/>
        <w:autoSpaceDN w:val="0"/>
        <w:spacing w:line="590" w:lineRule="exact"/>
        <w:ind w:firstLine="472"/>
        <w:textAlignment w:val="baseline"/>
      </w:pPr>
      <w:r>
        <w:rPr>
          <w:rFonts w:hint="eastAsia"/>
          <w:spacing w:val="-4"/>
        </w:rPr>
        <w:t>1、违约责任</w:t>
      </w:r>
    </w:p>
    <w:p w14:paraId="296E460D">
      <w:pPr>
        <w:kinsoku w:val="0"/>
        <w:autoSpaceDE w:val="0"/>
        <w:autoSpaceDN w:val="0"/>
        <w:spacing w:line="590" w:lineRule="exact"/>
        <w:ind w:firstLine="488"/>
        <w:textAlignment w:val="baseline"/>
      </w:pPr>
      <w:r>
        <w:rPr>
          <w:rFonts w:hint="eastAsia"/>
          <w:spacing w:val="4"/>
        </w:rPr>
        <w:t>1.1违反本合同约定，违约方应当按照《中华人民共和</w:t>
      </w:r>
      <w:r>
        <w:rPr>
          <w:rFonts w:hint="eastAsia"/>
          <w:spacing w:val="2"/>
        </w:rPr>
        <w:t>国民法典》有关条款的规定，承担违约责任。</w:t>
      </w:r>
    </w:p>
    <w:p w14:paraId="71D9416D">
      <w:pPr>
        <w:kinsoku w:val="0"/>
        <w:autoSpaceDE w:val="0"/>
        <w:autoSpaceDN w:val="0"/>
        <w:spacing w:line="590" w:lineRule="exact"/>
        <w:ind w:firstLine="492"/>
        <w:textAlignment w:val="baseline"/>
      </w:pPr>
      <w:r>
        <w:rPr>
          <w:rFonts w:hint="eastAsia"/>
          <w:spacing w:val="6"/>
        </w:rPr>
        <w:t>1.2因甲方原因（项目相关的技术资料更改等）造成乙</w:t>
      </w:r>
      <w:r>
        <w:rPr>
          <w:rFonts w:hint="eastAsia"/>
          <w:spacing w:val="5"/>
        </w:rPr>
        <w:t>方技术咨询业务量增加或延期的</w:t>
      </w:r>
      <w:r>
        <w:rPr>
          <w:spacing w:val="5"/>
        </w:rPr>
        <w:t>，双方另行签订补充协议调整</w:t>
      </w:r>
      <w:r>
        <w:rPr>
          <w:rFonts w:hint="eastAsia"/>
          <w:spacing w:val="-7"/>
        </w:rPr>
        <w:t>。</w:t>
      </w:r>
    </w:p>
    <w:p w14:paraId="2F47AFBF">
      <w:pPr>
        <w:kinsoku w:val="0"/>
        <w:autoSpaceDE w:val="0"/>
        <w:autoSpaceDN w:val="0"/>
        <w:spacing w:line="590" w:lineRule="exact"/>
        <w:ind w:firstLine="492"/>
        <w:textAlignment w:val="baseline"/>
        <w:rPr>
          <w:spacing w:val="6"/>
        </w:rPr>
      </w:pPr>
      <w:r>
        <w:rPr>
          <w:rFonts w:hint="eastAsia"/>
          <w:spacing w:val="6"/>
        </w:rPr>
        <w:t>1.3乙方无故未按期完成服务事项的，应向甲方支付入表服务费总价3%的违约金。乙方无故超期30天未完成的，甲方可解除合同，</w:t>
      </w:r>
      <w:r>
        <w:rPr>
          <w:rFonts w:hint="eastAsia"/>
          <w:spacing w:val="6"/>
          <w:lang w:bidi="zh-TW"/>
        </w:rPr>
        <w:t>无需支付乙方任何费用，乙方应全额退还甲方支付的全部费用，</w:t>
      </w:r>
      <w:r>
        <w:rPr>
          <w:rFonts w:hint="eastAsia"/>
          <w:spacing w:val="6"/>
        </w:rPr>
        <w:t>造成甲方损失的，乙方应承担全部赔偿责任（包括但不限于律师费、诉讼费、保全费、差旅费等）。</w:t>
      </w:r>
    </w:p>
    <w:p w14:paraId="4283B651">
      <w:pPr>
        <w:kinsoku w:val="0"/>
        <w:autoSpaceDE w:val="0"/>
        <w:autoSpaceDN w:val="0"/>
        <w:spacing w:line="590" w:lineRule="exact"/>
        <w:ind w:firstLine="486"/>
        <w:textAlignment w:val="baseline"/>
      </w:pPr>
      <w:r>
        <w:rPr>
          <w:rFonts w:hint="eastAsia"/>
          <w:spacing w:val="3"/>
        </w:rPr>
        <w:t>2、赔偿的限额</w:t>
      </w:r>
    </w:p>
    <w:p w14:paraId="767908A9">
      <w:pPr>
        <w:kinsoku w:val="0"/>
        <w:autoSpaceDE w:val="0"/>
        <w:autoSpaceDN w:val="0"/>
        <w:spacing w:line="590" w:lineRule="exact"/>
        <w:ind w:firstLine="508"/>
        <w:textAlignment w:val="baseline"/>
        <w:rPr>
          <w:spacing w:val="14"/>
        </w:rPr>
      </w:pPr>
      <w:r>
        <w:rPr>
          <w:rFonts w:hint="eastAsia"/>
          <w:spacing w:val="14"/>
        </w:rPr>
        <w:t>2.1甲方按照乙方符合本合同约定标准和方式完成的技术咨询工作成果作出决策并予以实施所造成的损失，按双方应负的责任承担相应损失。</w:t>
      </w:r>
    </w:p>
    <w:p w14:paraId="5477761F">
      <w:pPr>
        <w:kinsoku w:val="0"/>
        <w:autoSpaceDE w:val="0"/>
        <w:autoSpaceDN w:val="0"/>
        <w:spacing w:line="590" w:lineRule="exact"/>
        <w:ind w:firstLine="508"/>
        <w:textAlignment w:val="baseline"/>
        <w:rPr>
          <w:spacing w:val="14"/>
        </w:rPr>
      </w:pPr>
      <w:r>
        <w:rPr>
          <w:rFonts w:hint="eastAsia"/>
          <w:spacing w:val="14"/>
        </w:rPr>
        <w:t>2.2甲方无故未按照合同约定提供必要的资料和数据，影响工作进度和质量，不接受或者逾期接收工作成果的，合同履行期限相应推迟。</w:t>
      </w:r>
    </w:p>
    <w:p w14:paraId="72A789EC">
      <w:pPr>
        <w:kinsoku w:val="0"/>
        <w:autoSpaceDE w:val="0"/>
        <w:autoSpaceDN w:val="0"/>
        <w:spacing w:line="590" w:lineRule="exact"/>
        <w:ind w:firstLine="508"/>
        <w:textAlignment w:val="baseline"/>
        <w:rPr>
          <w:spacing w:val="14"/>
        </w:rPr>
      </w:pPr>
      <w:r>
        <w:rPr>
          <w:rFonts w:hint="eastAsia"/>
          <w:spacing w:val="14"/>
        </w:rPr>
        <w:t>2.3如甲方需要，乙方在服务期间应服从甲方合理安排，对服务内容进行中期多次汇报，并接受甲方合理的修改意见。</w:t>
      </w:r>
    </w:p>
    <w:p w14:paraId="0CB50E19">
      <w:pPr>
        <w:kinsoku w:val="0"/>
        <w:autoSpaceDE w:val="0"/>
        <w:autoSpaceDN w:val="0"/>
        <w:spacing w:line="590" w:lineRule="exact"/>
        <w:ind w:firstLine="420"/>
        <w:textAlignment w:val="baseline"/>
      </w:pPr>
    </w:p>
    <w:p w14:paraId="1202243D">
      <w:pPr>
        <w:kinsoku w:val="0"/>
        <w:autoSpaceDE w:val="0"/>
        <w:autoSpaceDN w:val="0"/>
        <w:spacing w:line="590" w:lineRule="exact"/>
        <w:ind w:firstLine="488"/>
        <w:textAlignment w:val="baseline"/>
      </w:pPr>
      <w:r>
        <w:rPr>
          <w:rFonts w:hint="eastAsia"/>
          <w:b/>
          <w:bCs/>
          <w:spacing w:val="3"/>
          <w:position w:val="1"/>
        </w:rPr>
        <w:t>九、保密</w:t>
      </w:r>
    </w:p>
    <w:p w14:paraId="3A317310">
      <w:pPr>
        <w:kinsoku w:val="0"/>
        <w:autoSpaceDE w:val="0"/>
        <w:autoSpaceDN w:val="0"/>
        <w:spacing w:line="590" w:lineRule="exact"/>
        <w:ind w:firstLine="508"/>
        <w:textAlignment w:val="baseline"/>
        <w:rPr>
          <w:spacing w:val="14"/>
          <w:lang w:bidi="zh-TW"/>
        </w:rPr>
      </w:pPr>
      <w:r>
        <w:rPr>
          <w:rFonts w:hint="eastAsia"/>
          <w:spacing w:val="14"/>
        </w:rPr>
        <w:t>乙方为本合同编制的所有文件，甲方有权为本合同中的项目使用或复制此类文件，不需取得乙方的许可。甲方提供的文件资料、商业秘密、项目信息乙方需严格保密，未经甲方允许，乙方不得向任何第三方转让、提供版权和所有权。数据资产权属归甲方所有，乙方不得私自进行交易，交易需与甲方签订补充协议。如有违背，可追究乙方法律责任。</w:t>
      </w:r>
      <w:r>
        <w:rPr>
          <w:rFonts w:hint="eastAsia"/>
          <w:spacing w:val="14"/>
          <w:lang w:bidi="zh-TW"/>
        </w:rPr>
        <w:t>本保密义务不因本合同终止、解除而失效。</w:t>
      </w:r>
    </w:p>
    <w:p w14:paraId="477E4698">
      <w:pPr>
        <w:kinsoku w:val="0"/>
        <w:autoSpaceDE w:val="0"/>
        <w:autoSpaceDN w:val="0"/>
        <w:spacing w:line="590" w:lineRule="exact"/>
        <w:ind w:firstLine="492"/>
        <w:textAlignment w:val="baseline"/>
      </w:pPr>
      <w:r>
        <w:rPr>
          <w:rFonts w:hint="eastAsia"/>
          <w:b/>
          <w:bCs/>
          <w:spacing w:val="5"/>
          <w:position w:val="1"/>
        </w:rPr>
        <w:t>十、争议解决方式</w:t>
      </w:r>
    </w:p>
    <w:p w14:paraId="0F101F5F">
      <w:pPr>
        <w:kinsoku w:val="0"/>
        <w:autoSpaceDE w:val="0"/>
        <w:autoSpaceDN w:val="0"/>
        <w:spacing w:line="590" w:lineRule="exact"/>
        <w:ind w:firstLine="482"/>
        <w:textAlignment w:val="baseline"/>
      </w:pPr>
      <w:r>
        <w:rPr>
          <w:rFonts w:hint="eastAsia"/>
          <w:spacing w:val="1"/>
        </w:rPr>
        <w:t>1、双方应当努力营造诚信和谐的合同关系，加强沟通，</w:t>
      </w:r>
      <w:r>
        <w:rPr>
          <w:rFonts w:hint="eastAsia"/>
          <w:spacing w:val="6"/>
        </w:rPr>
        <w:t>避免纠纷的发生。</w:t>
      </w:r>
    </w:p>
    <w:p w14:paraId="7CC79F67">
      <w:pPr>
        <w:kinsoku w:val="0"/>
        <w:autoSpaceDE w:val="0"/>
        <w:autoSpaceDN w:val="0"/>
        <w:spacing w:line="590" w:lineRule="exact"/>
        <w:ind w:firstLine="490"/>
        <w:textAlignment w:val="baseline"/>
      </w:pPr>
      <w:r>
        <w:rPr>
          <w:rFonts w:hint="eastAsia"/>
          <w:spacing w:val="5"/>
        </w:rPr>
        <w:t>2、不能避免的纠纷，在双方协商过程中和未达成一致意</w:t>
      </w:r>
      <w:r>
        <w:rPr>
          <w:rFonts w:hint="eastAsia"/>
          <w:spacing w:val="1"/>
        </w:rPr>
        <w:t>见时及之后的任何时间，除甲方明示暂停的外，乙方都</w:t>
      </w:r>
      <w:r>
        <w:rPr>
          <w:rFonts w:hint="eastAsia"/>
        </w:rPr>
        <w:t>有义</w:t>
      </w:r>
      <w:r>
        <w:rPr>
          <w:rFonts w:hint="eastAsia"/>
          <w:spacing w:val="7"/>
        </w:rPr>
        <w:t>务继续进行编制工作，不得因此停工、怠工。</w:t>
      </w:r>
    </w:p>
    <w:p w14:paraId="7F6D19F2">
      <w:pPr>
        <w:kinsoku w:val="0"/>
        <w:autoSpaceDE w:val="0"/>
        <w:autoSpaceDN w:val="0"/>
        <w:spacing w:line="590" w:lineRule="exact"/>
        <w:ind w:firstLine="486"/>
        <w:textAlignment w:val="baseline"/>
        <w:rPr>
          <w:spacing w:val="14"/>
        </w:rPr>
      </w:pPr>
      <w:r>
        <w:rPr>
          <w:rFonts w:hint="eastAsia"/>
          <w:spacing w:val="3"/>
        </w:rPr>
        <w:t>3、本合同履行过程中发生的任何争议，由双</w:t>
      </w:r>
      <w:r>
        <w:rPr>
          <w:rFonts w:hint="eastAsia"/>
          <w:spacing w:val="2"/>
        </w:rPr>
        <w:t>方当事人协</w:t>
      </w:r>
      <w:r>
        <w:rPr>
          <w:rFonts w:hint="eastAsia"/>
          <w:spacing w:val="4"/>
        </w:rPr>
        <w:t>商解决；协商或调解</w:t>
      </w:r>
      <w:r>
        <w:rPr>
          <w:rFonts w:hint="eastAsia"/>
          <w:spacing w:val="14"/>
        </w:rPr>
        <w:t>达不成一致意见的，双方约定依法向甲方所在地人民法院提起诉讼。</w:t>
      </w:r>
    </w:p>
    <w:p w14:paraId="1D81253D">
      <w:pPr>
        <w:kinsoku w:val="0"/>
        <w:autoSpaceDE w:val="0"/>
        <w:autoSpaceDN w:val="0"/>
        <w:spacing w:line="590" w:lineRule="exact"/>
        <w:ind w:firstLine="492"/>
        <w:textAlignment w:val="baseline"/>
      </w:pPr>
      <w:r>
        <w:rPr>
          <w:rFonts w:hint="eastAsia"/>
          <w:b/>
          <w:bCs/>
          <w:spacing w:val="5"/>
          <w:position w:val="1"/>
        </w:rPr>
        <w:t>十一、合同生效及其他</w:t>
      </w:r>
    </w:p>
    <w:p w14:paraId="660868F6">
      <w:pPr>
        <w:kinsoku w:val="0"/>
        <w:autoSpaceDE w:val="0"/>
        <w:autoSpaceDN w:val="0"/>
        <w:spacing w:line="590" w:lineRule="exact"/>
        <w:ind w:firstLine="508"/>
        <w:textAlignment w:val="baseline"/>
        <w:rPr>
          <w:spacing w:val="14"/>
        </w:rPr>
      </w:pPr>
      <w:r>
        <w:rPr>
          <w:rFonts w:hint="eastAsia"/>
          <w:spacing w:val="14"/>
        </w:rPr>
        <w:t>1、本合同双方签字盖章之日起即生效，一式肆份，甲乙双方各执贰份，同具法律效力。</w:t>
      </w:r>
    </w:p>
    <w:p w14:paraId="6E778976">
      <w:pPr>
        <w:kinsoku w:val="0"/>
        <w:autoSpaceDE w:val="0"/>
        <w:autoSpaceDN w:val="0"/>
        <w:spacing w:line="590" w:lineRule="exact"/>
        <w:ind w:firstLine="508"/>
        <w:textAlignment w:val="baseline"/>
        <w:rPr>
          <w:spacing w:val="14"/>
        </w:rPr>
      </w:pPr>
      <w:r>
        <w:rPr>
          <w:rFonts w:hint="eastAsia"/>
          <w:spacing w:val="14"/>
        </w:rPr>
        <w:t>2、双方认可的来往传真、电报、会议纪要等，均为合同的组成部分，与本合同具有同等法律效力。</w:t>
      </w:r>
    </w:p>
    <w:p w14:paraId="71843753">
      <w:pPr>
        <w:kinsoku w:val="0"/>
        <w:autoSpaceDE w:val="0"/>
        <w:autoSpaceDN w:val="0"/>
        <w:spacing w:line="590" w:lineRule="exact"/>
        <w:ind w:firstLine="508"/>
        <w:textAlignment w:val="baseline"/>
        <w:rPr>
          <w:spacing w:val="14"/>
        </w:rPr>
      </w:pPr>
      <w:r>
        <w:rPr>
          <w:rFonts w:hint="eastAsia"/>
          <w:spacing w:val="14"/>
        </w:rPr>
        <w:t>3、其他未尽事宜按照《中华人民共和国民法典》执行。</w:t>
      </w:r>
    </w:p>
    <w:p w14:paraId="1C32AFC6">
      <w:pPr>
        <w:pStyle w:val="98"/>
        <w:spacing w:after="0" w:line="590" w:lineRule="exact"/>
        <w:ind w:left="0"/>
      </w:pPr>
    </w:p>
    <w:p w14:paraId="5F68A7D4">
      <w:pPr>
        <w:pStyle w:val="101"/>
        <w:ind w:firstLine="420"/>
      </w:pPr>
    </w:p>
    <w:p w14:paraId="639700E6">
      <w:pPr>
        <w:pStyle w:val="101"/>
        <w:ind w:firstLine="420"/>
      </w:pPr>
    </w:p>
    <w:p w14:paraId="0CA7DF0B">
      <w:pPr>
        <w:pStyle w:val="101"/>
        <w:ind w:firstLine="420"/>
      </w:pPr>
    </w:p>
    <w:p w14:paraId="18469A66">
      <w:pPr>
        <w:kinsoku w:val="0"/>
        <w:autoSpaceDE w:val="0"/>
        <w:autoSpaceDN w:val="0"/>
        <w:spacing w:line="590" w:lineRule="exact"/>
        <w:ind w:firstLine="474"/>
        <w:textAlignment w:val="baseline"/>
      </w:pPr>
      <w:r>
        <w:rPr>
          <w:rFonts w:hint="eastAsia"/>
          <w:spacing w:val="-3"/>
        </w:rPr>
        <w:t>甲方（公章</w:t>
      </w:r>
      <w:r>
        <w:rPr>
          <w:rFonts w:hint="eastAsia"/>
          <w:spacing w:val="-22"/>
        </w:rPr>
        <w:t xml:space="preserve">）：                              </w:t>
      </w:r>
      <w:r>
        <w:rPr>
          <w:rFonts w:hint="eastAsia"/>
          <w:spacing w:val="-3"/>
        </w:rPr>
        <w:t>乙方（公章</w:t>
      </w:r>
      <w:r>
        <w:rPr>
          <w:rFonts w:hint="eastAsia"/>
          <w:spacing w:val="-22"/>
        </w:rPr>
        <w:t>）：</w:t>
      </w:r>
    </w:p>
    <w:p w14:paraId="6223771C">
      <w:pPr>
        <w:kinsoku w:val="0"/>
        <w:autoSpaceDE w:val="0"/>
        <w:autoSpaceDN w:val="0"/>
        <w:spacing w:line="590" w:lineRule="exact"/>
        <w:ind w:firstLine="482"/>
        <w:textAlignment w:val="baseline"/>
      </w:pPr>
      <w:r>
        <w:rPr>
          <w:rFonts w:hint="eastAsia"/>
          <w:spacing w:val="1"/>
        </w:rPr>
        <w:t>法人代表或                      法人代表或</w:t>
      </w:r>
    </w:p>
    <w:p w14:paraId="5EEFA4E0">
      <w:pPr>
        <w:kinsoku w:val="0"/>
        <w:autoSpaceDE w:val="0"/>
        <w:autoSpaceDN w:val="0"/>
        <w:spacing w:line="590" w:lineRule="exact"/>
        <w:ind w:firstLine="484"/>
        <w:textAlignment w:val="baseline"/>
      </w:pPr>
      <w:r>
        <w:rPr>
          <w:rFonts w:hint="eastAsia"/>
          <w:spacing w:val="2"/>
        </w:rPr>
        <w:t>委托代理人：                   委托代理人：</w:t>
      </w:r>
    </w:p>
    <w:p w14:paraId="0DC6F002">
      <w:pPr>
        <w:kinsoku w:val="0"/>
        <w:autoSpaceDE w:val="0"/>
        <w:autoSpaceDN w:val="0"/>
        <w:spacing w:line="590" w:lineRule="exact"/>
        <w:ind w:firstLine="476"/>
        <w:textAlignment w:val="baseline"/>
      </w:pPr>
      <w:r>
        <w:rPr>
          <w:rFonts w:hint="eastAsia"/>
          <w:spacing w:val="-2"/>
        </w:rPr>
        <w:t>地址：                           地址：</w:t>
      </w:r>
    </w:p>
    <w:p w14:paraId="268910E1">
      <w:pPr>
        <w:kinsoku w:val="0"/>
        <w:autoSpaceDE w:val="0"/>
        <w:autoSpaceDN w:val="0"/>
        <w:spacing w:line="590" w:lineRule="exact"/>
        <w:ind w:firstLine="468"/>
        <w:textAlignment w:val="baseline"/>
        <w:rPr>
          <w:spacing w:val="-6"/>
        </w:rPr>
      </w:pPr>
      <w:r>
        <w:rPr>
          <w:rFonts w:hint="eastAsia"/>
          <w:spacing w:val="-6"/>
        </w:rPr>
        <w:t>电话：                              电话：</w:t>
      </w:r>
    </w:p>
    <w:p w14:paraId="76F11528">
      <w:pPr>
        <w:kinsoku w:val="0"/>
        <w:autoSpaceDE w:val="0"/>
        <w:autoSpaceDN w:val="0"/>
        <w:spacing w:line="590" w:lineRule="exact"/>
        <w:ind w:firstLine="468"/>
        <w:textAlignment w:val="baseline"/>
      </w:pPr>
      <w:r>
        <w:rPr>
          <w:rFonts w:hint="eastAsia"/>
          <w:spacing w:val="-6"/>
        </w:rPr>
        <w:t>日期：                              日期：</w:t>
      </w:r>
    </w:p>
    <w:p w14:paraId="2681EF1B">
      <w:pPr>
        <w:ind w:firstLine="420"/>
      </w:pPr>
    </w:p>
    <w:p w14:paraId="008A3D91">
      <w:pPr>
        <w:ind w:firstLine="420"/>
      </w:pPr>
    </w:p>
    <w:p w14:paraId="77D71BBE">
      <w:pPr>
        <w:pStyle w:val="24"/>
        <w:ind w:firstLine="402"/>
      </w:pPr>
    </w:p>
    <w:p w14:paraId="03E09765">
      <w:pPr>
        <w:pStyle w:val="24"/>
        <w:ind w:firstLine="402"/>
      </w:pPr>
    </w:p>
    <w:p w14:paraId="374F5F7D">
      <w:pPr>
        <w:pStyle w:val="24"/>
        <w:ind w:firstLine="402"/>
      </w:pPr>
    </w:p>
    <w:p w14:paraId="4CB86D58">
      <w:pPr>
        <w:rPr>
          <w:szCs w:val="21"/>
        </w:rPr>
      </w:pPr>
    </w:p>
    <w:p w14:paraId="14DEC9B9">
      <w:pPr>
        <w:pStyle w:val="2"/>
        <w:pageBreakBefore/>
        <w:widowControl/>
        <w:ind w:firstLine="0" w:firstLineChars="0"/>
        <w:jc w:val="center"/>
        <w:rPr>
          <w:sz w:val="44"/>
        </w:rPr>
      </w:pPr>
      <w:bookmarkStart w:id="363" w:name="_Toc15387"/>
      <w:r>
        <w:rPr>
          <w:sz w:val="44"/>
        </w:rPr>
        <w:t xml:space="preserve">第五章  </w:t>
      </w:r>
      <w:bookmarkEnd w:id="349"/>
      <w:bookmarkEnd w:id="350"/>
      <w:bookmarkEnd w:id="351"/>
      <w:bookmarkEnd w:id="352"/>
      <w:r>
        <w:rPr>
          <w:sz w:val="44"/>
        </w:rPr>
        <w:t>项目需求</w:t>
      </w:r>
      <w:bookmarkEnd w:id="363"/>
    </w:p>
    <w:p w14:paraId="0E46C5A1">
      <w:pPr>
        <w:shd w:val="clear" w:color="auto" w:fill="FFFFFF"/>
        <w:jc w:val="center"/>
        <w:rPr>
          <w:sz w:val="32"/>
          <w:szCs w:val="32"/>
        </w:rPr>
      </w:pPr>
      <w:r>
        <w:rPr>
          <w:rFonts w:hint="eastAsia"/>
          <w:sz w:val="32"/>
          <w:szCs w:val="32"/>
        </w:rPr>
        <w:t>宜宾市南溪区中和教育文体发展有限公司</w:t>
      </w:r>
      <w:r>
        <w:rPr>
          <w:sz w:val="32"/>
          <w:szCs w:val="32"/>
        </w:rPr>
        <w:t>数据资产增值顶层设计需求说明</w:t>
      </w:r>
    </w:p>
    <w:p w14:paraId="7B94E624">
      <w:pPr>
        <w:shd w:val="clear" w:color="auto" w:fill="FFFFFF"/>
        <w:ind w:firstLine="480"/>
      </w:pPr>
    </w:p>
    <w:p w14:paraId="2625EC92">
      <w:pPr>
        <w:shd w:val="clear" w:color="auto" w:fill="FFFFFF"/>
        <w:ind w:firstLine="482"/>
        <w:rPr>
          <w:b/>
          <w:bCs/>
        </w:rPr>
      </w:pPr>
      <w:r>
        <w:rPr>
          <w:b/>
          <w:bCs/>
        </w:rPr>
        <w:t>一.业务背景</w:t>
      </w:r>
    </w:p>
    <w:p w14:paraId="09FC27C8">
      <w:pPr>
        <w:shd w:val="clear" w:color="auto" w:fill="FFFFFF"/>
        <w:ind w:firstLine="480"/>
      </w:pPr>
      <w:r>
        <w:t>为拓展数据经济、盘活数据资源，</w:t>
      </w:r>
      <w:r>
        <w:rPr>
          <w:rFonts w:hint="eastAsia"/>
        </w:rPr>
        <w:t>宜宾市南溪区中和教育文体发展有限公司</w:t>
      </w:r>
      <w:r>
        <w:t>开展全</w:t>
      </w:r>
      <w:r>
        <w:rPr>
          <w:rFonts w:hint="eastAsia"/>
        </w:rPr>
        <w:t>集团</w:t>
      </w:r>
      <w:r>
        <w:t>的公共数据、产业企业等的数据资产增值和实施落地工作。</w:t>
      </w:r>
      <w:r>
        <w:rPr>
          <w:rFonts w:hint="eastAsia"/>
        </w:rPr>
        <w:t>宜宾市南溪区中和教育文体发展有限公司</w:t>
      </w:r>
      <w:r>
        <w:t>负责</w:t>
      </w:r>
      <w:r>
        <w:rPr>
          <w:rFonts w:hint="eastAsia"/>
        </w:rPr>
        <w:t>南溪区</w:t>
      </w:r>
      <w:r>
        <w:rPr>
          <w:rFonts w:hint="eastAsia" w:ascii="Times New Roman" w:hAnsi="Times New Roman"/>
        </w:rPr>
        <w:t>教育产业投资运营、学前教育与职业教育办学、学生营养餐及学校食堂供餐、人力资源与职业技能培训、文体场馆运营及广告资源经营</w:t>
      </w:r>
      <w:r>
        <w:t>等业务，具有较强的区域专营性，丰富了营业收入的来源。数据资产开发也将成为</w:t>
      </w:r>
      <w:r>
        <w:rPr>
          <w:rFonts w:hint="eastAsia"/>
        </w:rPr>
        <w:t>宜宾市南溪区中和教育文体发展有限公司</w:t>
      </w:r>
      <w:r>
        <w:t>的创新发展新方向。</w:t>
      </w:r>
    </w:p>
    <w:p w14:paraId="13C8AC03">
      <w:pPr>
        <w:shd w:val="clear" w:color="auto" w:fill="FFFFFF"/>
        <w:ind w:firstLine="482"/>
        <w:rPr>
          <w:b/>
          <w:bCs/>
        </w:rPr>
      </w:pPr>
      <w:r>
        <w:rPr>
          <w:b/>
          <w:bCs/>
        </w:rPr>
        <w:t>二.数据资源开发指导原则</w:t>
      </w:r>
    </w:p>
    <w:p w14:paraId="3E3C5E18">
      <w:pPr>
        <w:shd w:val="clear" w:color="auto" w:fill="FFFFFF"/>
        <w:ind w:firstLine="480"/>
      </w:pPr>
      <w:r>
        <w:t>在当下宏观经济结构调整和地方政府平台公司市场化转型的过程中，数据资产可以优化区属国有企业资产并压降城建、政府类资产占比，并通过数据资产开发、运营、委托等增值方案带来经营性收入和利润，助力区属国有企业达成战略转型、凭借数据资产提供创新新思路。</w:t>
      </w:r>
    </w:p>
    <w:p w14:paraId="45894403">
      <w:pPr>
        <w:shd w:val="clear" w:color="auto" w:fill="FFFFFF"/>
        <w:ind w:firstLine="480"/>
      </w:pPr>
      <w:r>
        <w:rPr>
          <w:rFonts w:hint="eastAsia"/>
        </w:rPr>
        <w:t>宜宾市南溪区中和教育文体发展有限公司</w:t>
      </w:r>
      <w:r>
        <w:t>也将从资产经营到数据经营探索转型之路，是国有资产保值增值，战略创新的需要。</w:t>
      </w:r>
      <w:r>
        <w:rPr>
          <w:rFonts w:hint="eastAsia"/>
        </w:rPr>
        <w:t>宜宾市南溪区中和教育文体发展有限公司</w:t>
      </w:r>
      <w:r>
        <w:t>对于公共数据受托经营、地方产业数据、专业数据的深度数据产品的开发，以拓展数据资产资本运营，打通资产调优、财务调优的新路径的指导原则。但须遵从遵守国家关于数据安全权属、数据产品流通中各个环节、数据产品登记存证、数据产品交易评估、数据资产管理的技术要求。</w:t>
      </w:r>
    </w:p>
    <w:p w14:paraId="6A85D42B">
      <w:pPr>
        <w:shd w:val="clear" w:color="auto" w:fill="FFFFFF"/>
        <w:ind w:firstLine="482"/>
        <w:rPr>
          <w:b/>
          <w:bCs/>
        </w:rPr>
      </w:pPr>
      <w:r>
        <w:rPr>
          <w:b/>
          <w:bCs/>
        </w:rPr>
        <w:t>三.数据资产总体需求和目标计划</w:t>
      </w:r>
    </w:p>
    <w:p w14:paraId="74A09F94">
      <w:pPr>
        <w:shd w:val="clear" w:color="auto" w:fill="FFFFFF"/>
        <w:ind w:firstLine="482"/>
        <w:rPr>
          <w:b/>
          <w:bCs/>
        </w:rPr>
      </w:pPr>
      <w:r>
        <w:rPr>
          <w:b/>
          <w:bCs/>
        </w:rPr>
        <w:t>（一）总体需求</w:t>
      </w:r>
    </w:p>
    <w:p w14:paraId="653B5ECA">
      <w:pPr>
        <w:shd w:val="clear" w:color="auto" w:fill="FFFFFF"/>
        <w:ind w:firstLine="480"/>
      </w:pPr>
      <w:r>
        <w:t>1.</w:t>
      </w:r>
      <w:r>
        <w:tab/>
      </w:r>
      <w:r>
        <w:rPr>
          <w:rFonts w:hint="eastAsia"/>
        </w:rPr>
        <w:t>南溪区</w:t>
      </w:r>
      <w:r>
        <w:t>数据资产管理需要首先进行战略层级的顶层设计，设定战略目标和战略分解、数据资源价值盘点和商业模式设计，以达成自上而下、自下而上的双向统一。</w:t>
      </w:r>
    </w:p>
    <w:p w14:paraId="1AAA4080">
      <w:pPr>
        <w:shd w:val="clear" w:color="auto" w:fill="FFFFFF"/>
        <w:ind w:firstLine="480"/>
      </w:pPr>
      <w:r>
        <w:t>2.</w:t>
      </w:r>
      <w:r>
        <w:tab/>
      </w:r>
      <w:r>
        <w:t>在遵从国家数据资产管理法规和指南的前提下，结合地方规范的建立不限于</w:t>
      </w:r>
      <w:r>
        <w:rPr>
          <w:rFonts w:hint="eastAsia"/>
        </w:rPr>
        <w:t>从合规确权、质量评价、价值评估、登记备案等数据流通过程标准化体系</w:t>
      </w:r>
      <w:r>
        <w:t>。</w:t>
      </w:r>
    </w:p>
    <w:p w14:paraId="24C55452">
      <w:pPr>
        <w:shd w:val="clear" w:color="auto" w:fill="FFFFFF"/>
        <w:ind w:firstLine="480"/>
      </w:pPr>
      <w:r>
        <w:rPr>
          <w:rFonts w:hint="eastAsia"/>
        </w:rPr>
        <w:t>3</w:t>
      </w:r>
      <w:r>
        <w:t>.</w:t>
      </w:r>
      <w:r>
        <w:tab/>
      </w:r>
      <w:r>
        <w:t>在战略规划顶层设计之后，积极探索实践，实现第一批次数据资产入表中获得数</w:t>
      </w:r>
      <w:r>
        <w:rPr>
          <w:rFonts w:hint="eastAsia"/>
        </w:rPr>
        <w:t>据</w:t>
      </w:r>
      <w:r>
        <w:t>资产管理的经济效益，形成实践经验积累、培养团队，形成可持续的规模化闭环。</w:t>
      </w:r>
    </w:p>
    <w:p w14:paraId="37AC2AB7">
      <w:pPr>
        <w:shd w:val="clear" w:color="auto" w:fill="FFFFFF"/>
        <w:ind w:firstLine="480"/>
      </w:pPr>
      <w:r>
        <w:rPr>
          <w:rFonts w:hint="eastAsia"/>
        </w:rPr>
        <w:t>4</w:t>
      </w:r>
      <w:r>
        <w:t>.</w:t>
      </w:r>
      <w:r>
        <w:tab/>
      </w:r>
      <w:r>
        <w:t>设立数据资产服务工作基地，开展数据资产的深度价值挖掘和市场化的增值服务。</w:t>
      </w:r>
    </w:p>
    <w:p w14:paraId="5189450F">
      <w:pPr>
        <w:shd w:val="clear" w:color="auto" w:fill="FFFFFF"/>
        <w:ind w:firstLine="482"/>
        <w:rPr>
          <w:b/>
          <w:bCs/>
        </w:rPr>
      </w:pPr>
      <w:r>
        <w:rPr>
          <w:b/>
          <w:bCs/>
        </w:rPr>
        <w:t>（二）总体实施计划</w:t>
      </w:r>
    </w:p>
    <w:p w14:paraId="4E9EE639">
      <w:pPr>
        <w:shd w:val="clear" w:color="auto" w:fill="FFFFFF"/>
        <w:ind w:firstLine="480"/>
      </w:pPr>
      <w:r>
        <w:t>1.</w:t>
      </w:r>
      <w:r>
        <w:tab/>
      </w:r>
      <w:r>
        <w:t>形成</w:t>
      </w:r>
      <w:r>
        <w:rPr>
          <w:rFonts w:hint="eastAsia"/>
        </w:rPr>
        <w:t>宜宾市南溪区中和教育文体发展有限公司</w:t>
      </w:r>
      <w:r>
        <w:t>数据资产增值管理的战略，分三个阶段执行的计划制定和经营目标、推进行动任务的设定，完成数据产业化资本运营体系设计。</w:t>
      </w:r>
    </w:p>
    <w:p w14:paraId="042DC2B8">
      <w:pPr>
        <w:shd w:val="clear" w:color="auto" w:fill="FFFFFF"/>
        <w:ind w:firstLine="480"/>
      </w:pPr>
      <w:r>
        <w:t>2.</w:t>
      </w:r>
      <w:r>
        <w:tab/>
      </w:r>
      <w:r>
        <w:t>在具备实现批量化的数据资源入表的能力，形成有实质运营价值的数据资产组合，逐步为公司塑造以数据资产资本运营为核心业务的城市数据基础设施运营平台新定位。</w:t>
      </w:r>
    </w:p>
    <w:p w14:paraId="662BC026">
      <w:pPr>
        <w:shd w:val="clear" w:color="auto" w:fill="FFFFFF"/>
        <w:ind w:firstLine="480"/>
      </w:pPr>
      <w:r>
        <w:t>3.</w:t>
      </w:r>
      <w:r>
        <w:tab/>
      </w:r>
      <w:r>
        <w:t>以数据资产入表扩充公司资产总量以降低整体负债比率，丰富收入类型以优化利润结构，创新融资模式、缓解债务压力以改善现金流量状况。</w:t>
      </w:r>
    </w:p>
    <w:p w14:paraId="1A4552ED">
      <w:pPr>
        <w:shd w:val="clear" w:color="auto" w:fill="FFFFFF"/>
        <w:ind w:firstLine="480"/>
      </w:pPr>
      <w:r>
        <w:t>4.</w:t>
      </w:r>
      <w:r>
        <w:tab/>
      </w:r>
      <w:r>
        <w:t>以产业运营数据、资本运营数据和公共数据分析为数据资源创新运营和管理，提升在数字时代的竞争力，并为本级政府公共服务/治理水平的提升提供助力。</w:t>
      </w:r>
    </w:p>
    <w:p w14:paraId="0A0779EB">
      <w:pPr>
        <w:shd w:val="clear" w:color="auto" w:fill="FFFFFF"/>
        <w:ind w:firstLine="482"/>
        <w:rPr>
          <w:b/>
          <w:bCs/>
        </w:rPr>
      </w:pPr>
      <w:r>
        <w:rPr>
          <w:b/>
          <w:bCs/>
        </w:rPr>
        <w:t>（三）本期实施目标</w:t>
      </w:r>
    </w:p>
    <w:p w14:paraId="6F8B1396">
      <w:pPr>
        <w:shd w:val="clear" w:color="auto" w:fill="FFFFFF"/>
        <w:ind w:firstLine="480"/>
      </w:pPr>
      <w:r>
        <w:t>整体项目实施周期不超过</w:t>
      </w:r>
      <w:r>
        <w:rPr>
          <w:rFonts w:hint="eastAsia"/>
        </w:rPr>
        <w:t>2</w:t>
      </w:r>
      <w:r>
        <w:t>个月</w:t>
      </w:r>
      <w:r>
        <w:rPr>
          <w:rFonts w:hint="eastAsia"/>
        </w:rPr>
        <w:t>。</w:t>
      </w:r>
      <w:r>
        <w:t>其中：</w:t>
      </w:r>
    </w:p>
    <w:p w14:paraId="05E6AF95">
      <w:pPr>
        <w:shd w:val="clear" w:color="auto" w:fill="FFFFFF"/>
        <w:ind w:firstLine="480"/>
      </w:pPr>
      <w:r>
        <w:t>1.</w:t>
      </w:r>
      <w:r>
        <w:tab/>
      </w:r>
      <w:r>
        <w:t>顶层设计期：数据资产业务顶层设计</w:t>
      </w:r>
    </w:p>
    <w:p w14:paraId="4DE10D4E">
      <w:pPr>
        <w:shd w:val="clear" w:color="auto" w:fill="FFFFFF"/>
        <w:ind w:firstLine="480"/>
      </w:pPr>
      <w:r>
        <w:t>数据资产战略目标设计和战略共识统一达成；数据资源现状摸底和数据价值盘点，可预期的数据产品市场商业化规模和创新商业模式的设计；数据产业的战略分解设计和任务计划、行动目标、技术管理蓝图设计，转变促成策略设计。</w:t>
      </w:r>
    </w:p>
    <w:p w14:paraId="570F082F">
      <w:pPr>
        <w:shd w:val="clear" w:color="auto" w:fill="FFFFFF"/>
        <w:ind w:firstLine="480"/>
      </w:pPr>
      <w:r>
        <w:t>2.</w:t>
      </w:r>
      <w:r>
        <w:tab/>
      </w:r>
      <w:r>
        <w:t>实践探索期：实施跑通首年试点期</w:t>
      </w:r>
    </w:p>
    <w:p w14:paraId="2DA24C17">
      <w:pPr>
        <w:shd w:val="clear" w:color="auto" w:fill="FFFFFF"/>
        <w:ind w:firstLine="480"/>
      </w:pPr>
      <w:r>
        <w:t>首年实现跑通数据全流程试点，</w:t>
      </w:r>
      <w:r>
        <w:rPr>
          <w:b/>
          <w:bCs/>
        </w:rPr>
        <w:t>开发设计并通过不少于</w:t>
      </w:r>
      <w:r>
        <w:rPr>
          <w:rFonts w:hint="eastAsia"/>
          <w:b/>
          <w:bCs/>
        </w:rPr>
        <w:t>3</w:t>
      </w:r>
      <w:r>
        <w:rPr>
          <w:b/>
          <w:bCs/>
        </w:rPr>
        <w:t>项数据产品的确权登记和价值评估</w:t>
      </w:r>
      <w:r>
        <w:t>，优化资产结构、拓宽经营性收入、设计打通数据产品交易的通路和定价模式，实现数据资产的资本运营的基本框架。</w:t>
      </w:r>
    </w:p>
    <w:p w14:paraId="4BE27FA0">
      <w:pPr>
        <w:shd w:val="clear" w:color="auto" w:fill="FFFFFF"/>
        <w:ind w:firstLine="480"/>
      </w:pPr>
      <w:r>
        <w:t>3、形成中长期的数据资产资本运营能力（知识转移</w:t>
      </w:r>
      <w:r>
        <w:rPr>
          <w:rFonts w:hint="eastAsia"/>
        </w:rPr>
        <w:t>/培训</w:t>
      </w:r>
      <w:r>
        <w:t>）</w:t>
      </w:r>
    </w:p>
    <w:p w14:paraId="36101B21">
      <w:pPr>
        <w:shd w:val="clear" w:color="auto" w:fill="FFFFFF"/>
        <w:ind w:firstLine="480"/>
      </w:pPr>
      <w:r>
        <w:t>数据资产运营作为专业性强、需长期持续地开发数据产品的价值，结合不同场景进行创新性产品设计，专业化运作需要独立化、市场化的业务团队，并充分与外部独立的市场化主体进行充分合作、协同。形成中长期的数据资产资本运营根据本地特色的能力，并围绕该主体设计商业运行模式，是整个增值计划的关键步骤和主体保障。</w:t>
      </w:r>
    </w:p>
    <w:p w14:paraId="17CFE15C">
      <w:pPr>
        <w:shd w:val="clear" w:color="auto" w:fill="FFFFFF"/>
        <w:ind w:firstLine="420"/>
        <w:rPr>
          <w:rFonts w:eastAsia="微软雅黑"/>
          <w:szCs w:val="21"/>
        </w:rPr>
      </w:pPr>
    </w:p>
    <w:p w14:paraId="0712BDEF">
      <w:pPr>
        <w:ind w:firstLine="420"/>
      </w:pPr>
    </w:p>
    <w:p w14:paraId="53480DCD">
      <w:pPr>
        <w:spacing w:line="400" w:lineRule="exact"/>
        <w:ind w:firstLine="420"/>
        <w:jc w:val="center"/>
        <w:rPr>
          <w:szCs w:val="21"/>
        </w:rPr>
      </w:pPr>
    </w:p>
    <w:bookmarkEnd w:id="353"/>
    <w:bookmarkEnd w:id="354"/>
    <w:bookmarkEnd w:id="355"/>
    <w:bookmarkEnd w:id="356"/>
    <w:bookmarkEnd w:id="357"/>
    <w:bookmarkEnd w:id="358"/>
    <w:bookmarkEnd w:id="359"/>
    <w:bookmarkEnd w:id="360"/>
    <w:bookmarkEnd w:id="361"/>
    <w:p w14:paraId="5DB4A32E">
      <w:pPr>
        <w:pStyle w:val="63"/>
        <w:spacing w:line="300" w:lineRule="auto"/>
        <w:ind w:firstLine="0" w:firstLineChars="0"/>
        <w:jc w:val="center"/>
        <w:rPr>
          <w:rFonts w:ascii="Times New Roman" w:hAnsi="Times New Roman" w:eastAsia="宋体"/>
          <w:sz w:val="24"/>
          <w:szCs w:val="24"/>
        </w:rPr>
      </w:pPr>
    </w:p>
    <w:p w14:paraId="4A0F41E3">
      <w:pPr>
        <w:pStyle w:val="63"/>
        <w:spacing w:line="300" w:lineRule="auto"/>
        <w:ind w:firstLine="0" w:firstLineChars="0"/>
        <w:jc w:val="center"/>
        <w:rPr>
          <w:rFonts w:ascii="Times New Roman" w:hAnsi="Times New Roman" w:eastAsia="宋体"/>
          <w:sz w:val="24"/>
          <w:szCs w:val="24"/>
        </w:rPr>
      </w:pPr>
    </w:p>
    <w:p w14:paraId="265EF8D1">
      <w:pPr>
        <w:pStyle w:val="63"/>
        <w:spacing w:line="300" w:lineRule="auto"/>
        <w:ind w:firstLine="0" w:firstLineChars="0"/>
        <w:jc w:val="center"/>
        <w:rPr>
          <w:rFonts w:ascii="Times New Roman" w:hAnsi="Times New Roman" w:eastAsia="宋体"/>
          <w:sz w:val="24"/>
          <w:szCs w:val="24"/>
        </w:rPr>
      </w:pPr>
    </w:p>
    <w:p w14:paraId="38A12BF5">
      <w:pPr>
        <w:pStyle w:val="63"/>
        <w:spacing w:line="300" w:lineRule="auto"/>
        <w:ind w:firstLine="0" w:firstLineChars="0"/>
        <w:jc w:val="center"/>
        <w:rPr>
          <w:rFonts w:ascii="Times New Roman" w:hAnsi="Times New Roman" w:eastAsia="宋体"/>
          <w:sz w:val="24"/>
          <w:szCs w:val="24"/>
        </w:rPr>
      </w:pPr>
    </w:p>
    <w:p w14:paraId="697FDC77">
      <w:pPr>
        <w:pStyle w:val="63"/>
        <w:spacing w:line="300" w:lineRule="auto"/>
        <w:ind w:firstLine="0" w:firstLineChars="0"/>
        <w:jc w:val="center"/>
        <w:rPr>
          <w:rFonts w:ascii="Times New Roman" w:hAnsi="Times New Roman" w:eastAsia="宋体"/>
          <w:sz w:val="24"/>
          <w:szCs w:val="24"/>
        </w:rPr>
      </w:pPr>
    </w:p>
    <w:p w14:paraId="208E66E9">
      <w:pPr>
        <w:pStyle w:val="63"/>
        <w:spacing w:line="300" w:lineRule="auto"/>
        <w:ind w:firstLine="0" w:firstLineChars="0"/>
        <w:jc w:val="center"/>
        <w:rPr>
          <w:rFonts w:ascii="Times New Roman" w:hAnsi="Times New Roman" w:eastAsia="宋体"/>
          <w:sz w:val="24"/>
          <w:szCs w:val="24"/>
        </w:rPr>
      </w:pPr>
    </w:p>
    <w:p w14:paraId="77D9AE43">
      <w:pPr>
        <w:pStyle w:val="63"/>
        <w:spacing w:line="300" w:lineRule="auto"/>
        <w:ind w:firstLine="0" w:firstLineChars="0"/>
        <w:jc w:val="center"/>
        <w:rPr>
          <w:rFonts w:ascii="Times New Roman" w:hAnsi="Times New Roman" w:eastAsia="宋体"/>
          <w:sz w:val="24"/>
          <w:szCs w:val="24"/>
        </w:rPr>
      </w:pPr>
    </w:p>
    <w:p w14:paraId="7D7DC6F0">
      <w:pPr>
        <w:pStyle w:val="63"/>
        <w:spacing w:line="300" w:lineRule="auto"/>
        <w:ind w:firstLine="0" w:firstLineChars="0"/>
        <w:jc w:val="center"/>
        <w:rPr>
          <w:rFonts w:ascii="Times New Roman" w:hAnsi="Times New Roman" w:eastAsia="宋体"/>
          <w:sz w:val="24"/>
          <w:szCs w:val="24"/>
        </w:rPr>
      </w:pPr>
    </w:p>
    <w:p w14:paraId="313BBC47">
      <w:pPr>
        <w:pStyle w:val="63"/>
        <w:spacing w:line="300" w:lineRule="auto"/>
        <w:ind w:firstLine="0" w:firstLineChars="0"/>
        <w:jc w:val="center"/>
        <w:rPr>
          <w:rFonts w:ascii="Times New Roman" w:hAnsi="Times New Roman" w:eastAsia="宋体"/>
          <w:sz w:val="24"/>
          <w:szCs w:val="24"/>
        </w:rPr>
      </w:pPr>
    </w:p>
    <w:p w14:paraId="1BC478CD">
      <w:pPr>
        <w:pStyle w:val="63"/>
        <w:spacing w:line="300" w:lineRule="auto"/>
        <w:ind w:firstLine="0" w:firstLineChars="0"/>
        <w:jc w:val="center"/>
        <w:rPr>
          <w:rFonts w:ascii="Times New Roman" w:hAnsi="Times New Roman" w:eastAsia="宋体"/>
          <w:sz w:val="24"/>
          <w:szCs w:val="24"/>
        </w:rPr>
      </w:pPr>
    </w:p>
    <w:p w14:paraId="3365A1F7">
      <w:pPr>
        <w:pStyle w:val="63"/>
        <w:spacing w:line="300" w:lineRule="auto"/>
        <w:ind w:firstLine="0" w:firstLineChars="0"/>
        <w:jc w:val="center"/>
        <w:rPr>
          <w:rFonts w:ascii="Times New Roman" w:hAnsi="Times New Roman" w:eastAsia="宋体"/>
          <w:sz w:val="24"/>
          <w:szCs w:val="24"/>
        </w:rPr>
      </w:pPr>
    </w:p>
    <w:p w14:paraId="5C61CA02">
      <w:pPr>
        <w:pStyle w:val="63"/>
        <w:spacing w:line="300" w:lineRule="auto"/>
        <w:ind w:firstLine="0" w:firstLineChars="0"/>
        <w:jc w:val="center"/>
        <w:rPr>
          <w:rFonts w:ascii="Times New Roman" w:hAnsi="Times New Roman" w:eastAsia="宋体"/>
          <w:sz w:val="24"/>
          <w:szCs w:val="24"/>
        </w:rPr>
      </w:pPr>
    </w:p>
    <w:p w14:paraId="0A388769">
      <w:pPr>
        <w:pStyle w:val="63"/>
        <w:spacing w:line="300" w:lineRule="auto"/>
        <w:ind w:firstLine="0" w:firstLineChars="0"/>
        <w:jc w:val="center"/>
        <w:rPr>
          <w:rFonts w:ascii="Times New Roman" w:hAnsi="Times New Roman" w:eastAsia="宋体"/>
          <w:sz w:val="24"/>
          <w:szCs w:val="24"/>
        </w:rPr>
      </w:pPr>
    </w:p>
    <w:p w14:paraId="4450E80A">
      <w:pPr>
        <w:pStyle w:val="63"/>
        <w:spacing w:line="300" w:lineRule="auto"/>
        <w:ind w:firstLine="0" w:firstLineChars="0"/>
        <w:jc w:val="center"/>
        <w:rPr>
          <w:rFonts w:ascii="Times New Roman" w:hAnsi="Times New Roman" w:eastAsia="宋体"/>
          <w:sz w:val="24"/>
          <w:szCs w:val="24"/>
        </w:rPr>
      </w:pPr>
    </w:p>
    <w:p w14:paraId="4DD9DE34">
      <w:pPr>
        <w:pStyle w:val="63"/>
        <w:spacing w:line="300" w:lineRule="auto"/>
        <w:ind w:firstLine="0" w:firstLineChars="0"/>
        <w:jc w:val="center"/>
        <w:rPr>
          <w:rFonts w:ascii="Times New Roman" w:hAnsi="Times New Roman" w:eastAsia="宋体"/>
          <w:sz w:val="24"/>
          <w:szCs w:val="24"/>
        </w:rPr>
      </w:pPr>
    </w:p>
    <w:p w14:paraId="040B1FBE">
      <w:pPr>
        <w:pStyle w:val="63"/>
        <w:spacing w:line="300" w:lineRule="auto"/>
        <w:ind w:firstLine="0" w:firstLineChars="0"/>
        <w:jc w:val="center"/>
        <w:rPr>
          <w:rFonts w:ascii="Times New Roman" w:hAnsi="Times New Roman" w:eastAsia="宋体"/>
          <w:sz w:val="24"/>
          <w:szCs w:val="24"/>
        </w:rPr>
      </w:pPr>
    </w:p>
    <w:p w14:paraId="20562776">
      <w:pPr>
        <w:pStyle w:val="63"/>
        <w:spacing w:line="300" w:lineRule="auto"/>
        <w:ind w:firstLine="0" w:firstLineChars="0"/>
        <w:jc w:val="center"/>
        <w:rPr>
          <w:rFonts w:ascii="Times New Roman" w:hAnsi="Times New Roman" w:eastAsia="宋体"/>
          <w:sz w:val="24"/>
          <w:szCs w:val="24"/>
        </w:rPr>
      </w:pPr>
    </w:p>
    <w:p w14:paraId="33EE8FB8">
      <w:pPr>
        <w:pStyle w:val="63"/>
        <w:spacing w:line="300" w:lineRule="auto"/>
        <w:ind w:firstLine="0" w:firstLineChars="0"/>
        <w:jc w:val="both"/>
        <w:rPr>
          <w:rFonts w:ascii="Times New Roman" w:hAnsi="Times New Roman" w:eastAsia="宋体"/>
          <w:sz w:val="24"/>
          <w:szCs w:val="24"/>
        </w:rPr>
      </w:pPr>
    </w:p>
    <w:p w14:paraId="28AC1820">
      <w:pPr>
        <w:pStyle w:val="63"/>
        <w:spacing w:line="300" w:lineRule="auto"/>
        <w:ind w:firstLine="0" w:firstLineChars="0"/>
        <w:jc w:val="center"/>
        <w:rPr>
          <w:rFonts w:ascii="Times New Roman" w:hAnsi="Times New Roman" w:eastAsia="宋体"/>
          <w:sz w:val="24"/>
          <w:szCs w:val="24"/>
        </w:rPr>
      </w:pPr>
    </w:p>
    <w:p w14:paraId="1D60284D">
      <w:pPr>
        <w:pStyle w:val="63"/>
        <w:spacing w:line="300" w:lineRule="auto"/>
        <w:ind w:firstLine="0" w:firstLineChars="0"/>
        <w:jc w:val="center"/>
        <w:rPr>
          <w:rFonts w:ascii="Times New Roman" w:hAnsi="Times New Roman" w:eastAsia="宋体"/>
          <w:sz w:val="24"/>
          <w:szCs w:val="24"/>
        </w:rPr>
      </w:pPr>
    </w:p>
    <w:p w14:paraId="2F72585E">
      <w:pPr>
        <w:pStyle w:val="63"/>
        <w:spacing w:line="300" w:lineRule="auto"/>
        <w:ind w:firstLine="0" w:firstLineChars="0"/>
        <w:jc w:val="center"/>
        <w:rPr>
          <w:rFonts w:ascii="Times New Roman" w:hAnsi="Times New Roman" w:eastAsia="宋体"/>
          <w:sz w:val="24"/>
          <w:szCs w:val="24"/>
        </w:rPr>
      </w:pPr>
    </w:p>
    <w:p w14:paraId="2ACA0874">
      <w:pPr>
        <w:pStyle w:val="63"/>
        <w:spacing w:line="300" w:lineRule="auto"/>
        <w:ind w:firstLine="0" w:firstLineChars="0"/>
        <w:jc w:val="center"/>
        <w:rPr>
          <w:rFonts w:ascii="Times New Roman" w:hAnsi="Times New Roman" w:eastAsia="宋体"/>
          <w:sz w:val="24"/>
          <w:szCs w:val="24"/>
        </w:rPr>
      </w:pPr>
    </w:p>
    <w:p w14:paraId="35CB9DC0">
      <w:pPr>
        <w:pStyle w:val="2"/>
        <w:pageBreakBefore/>
        <w:ind w:left="0" w:leftChars="0" w:firstLine="0" w:firstLineChars="0"/>
        <w:jc w:val="center"/>
        <w:rPr>
          <w:sz w:val="44"/>
        </w:rPr>
      </w:pPr>
      <w:bookmarkStart w:id="364" w:name="_Toc511387439"/>
      <w:bookmarkStart w:id="365" w:name="_Toc32353"/>
      <w:bookmarkStart w:id="366" w:name="_Toc496096256"/>
      <w:bookmarkStart w:id="367" w:name="_Toc28385"/>
      <w:bookmarkStart w:id="368" w:name="_Toc24658"/>
      <w:bookmarkStart w:id="369" w:name="_Toc68108440"/>
      <w:bookmarkStart w:id="370" w:name="_Toc511387440"/>
      <w:bookmarkStart w:id="371" w:name="_Toc68108441"/>
      <w:r>
        <w:rPr>
          <w:sz w:val="44"/>
        </w:rPr>
        <w:t>第六章  投标文件格式</w:t>
      </w:r>
      <w:bookmarkEnd w:id="364"/>
      <w:bookmarkEnd w:id="365"/>
      <w:bookmarkEnd w:id="366"/>
      <w:bookmarkEnd w:id="367"/>
      <w:bookmarkEnd w:id="368"/>
      <w:bookmarkEnd w:id="369"/>
    </w:p>
    <w:p w14:paraId="4EF0E5CF">
      <w:pPr>
        <w:pStyle w:val="63"/>
        <w:spacing w:line="300" w:lineRule="auto"/>
        <w:ind w:firstLine="0" w:firstLineChars="0"/>
        <w:jc w:val="center"/>
        <w:rPr>
          <w:rFonts w:ascii="Times New Roman" w:hAnsi="Times New Roman" w:eastAsia="宋体"/>
          <w:sz w:val="24"/>
          <w:szCs w:val="24"/>
        </w:rPr>
      </w:pPr>
    </w:p>
    <w:p w14:paraId="252E1D05">
      <w:pPr>
        <w:pStyle w:val="3"/>
      </w:pPr>
      <w:bookmarkStart w:id="372" w:name="_Toc28060"/>
      <w:r>
        <w:rPr>
          <w:rFonts w:hint="eastAsia"/>
        </w:rPr>
        <w:t>标书</w:t>
      </w:r>
      <w:r>
        <w:t>封面</w:t>
      </w:r>
      <w:bookmarkEnd w:id="370"/>
      <w:r>
        <w:rPr>
          <w:rFonts w:hint="eastAsia"/>
        </w:rPr>
        <w:t>样</w:t>
      </w:r>
      <w:r>
        <w:t>式</w:t>
      </w:r>
      <w:bookmarkEnd w:id="371"/>
      <w:r>
        <w:rPr>
          <w:rFonts w:hint="eastAsia"/>
        </w:rPr>
        <w:t>：</w:t>
      </w:r>
      <w:bookmarkEnd w:id="372"/>
    </w:p>
    <w:p w14:paraId="0134E2F2">
      <w:pPr>
        <w:jc w:val="right"/>
        <w:rPr>
          <w:rFonts w:cs="Arial"/>
          <w:b/>
          <w:bCs/>
          <w:sz w:val="44"/>
          <w:szCs w:val="44"/>
        </w:rPr>
      </w:pPr>
      <w:r>
        <w:rPr>
          <w:rFonts w:hint="eastAsia" w:cs="Arial"/>
          <w:b/>
          <w:bCs/>
          <w:sz w:val="44"/>
          <w:szCs w:val="44"/>
          <w:u w:val="single"/>
        </w:rPr>
        <w:t xml:space="preserve">    </w:t>
      </w:r>
      <w:r>
        <w:rPr>
          <w:rFonts w:hint="eastAsia" w:cs="Arial"/>
          <w:b/>
          <w:bCs/>
          <w:sz w:val="44"/>
          <w:szCs w:val="44"/>
        </w:rPr>
        <w:t>本</w:t>
      </w:r>
    </w:p>
    <w:p w14:paraId="3272B442">
      <w:pPr>
        <w:rPr>
          <w:b/>
          <w:spacing w:val="20"/>
          <w:sz w:val="32"/>
          <w:szCs w:val="32"/>
        </w:rPr>
      </w:pPr>
    </w:p>
    <w:p w14:paraId="4A22C3B4">
      <w:pPr>
        <w:jc w:val="center"/>
        <w:rPr>
          <w:b/>
          <w:spacing w:val="20"/>
          <w:sz w:val="36"/>
          <w:szCs w:val="36"/>
        </w:rPr>
      </w:pPr>
      <w:r>
        <w:rPr>
          <w:rFonts w:hint="eastAsia"/>
          <w:b/>
          <w:spacing w:val="20"/>
          <w:sz w:val="36"/>
          <w:szCs w:val="36"/>
        </w:rPr>
        <w:t>宜宾市南溪区中和教育文体发展有限公司</w:t>
      </w:r>
      <w:r>
        <w:rPr>
          <w:b/>
          <w:spacing w:val="20"/>
          <w:sz w:val="36"/>
          <w:szCs w:val="36"/>
        </w:rPr>
        <w:t>数据资产增值服务项目</w:t>
      </w:r>
    </w:p>
    <w:p w14:paraId="12F0F1A4">
      <w:pPr>
        <w:spacing w:after="312" w:afterLines="100"/>
        <w:jc w:val="center"/>
        <w:rPr>
          <w:b/>
          <w:spacing w:val="20"/>
          <w:sz w:val="84"/>
          <w:szCs w:val="84"/>
        </w:rPr>
      </w:pPr>
    </w:p>
    <w:p w14:paraId="1B76B3A5">
      <w:pPr>
        <w:spacing w:after="312" w:afterLines="100"/>
        <w:jc w:val="center"/>
        <w:rPr>
          <w:b/>
          <w:spacing w:val="20"/>
          <w:sz w:val="84"/>
          <w:szCs w:val="84"/>
        </w:rPr>
      </w:pPr>
      <w:r>
        <w:rPr>
          <w:b/>
          <w:spacing w:val="20"/>
          <w:sz w:val="84"/>
          <w:szCs w:val="84"/>
        </w:rPr>
        <w:t>投标文件</w:t>
      </w:r>
    </w:p>
    <w:p w14:paraId="0EA29B87">
      <w:pPr>
        <w:spacing w:line="520" w:lineRule="atLeast"/>
        <w:jc w:val="center"/>
        <w:rPr>
          <w:rFonts w:cs="仿宋_GB2312"/>
          <w:b/>
          <w:bCs/>
          <w:sz w:val="36"/>
        </w:rPr>
      </w:pPr>
    </w:p>
    <w:p w14:paraId="658AE8A9">
      <w:pPr>
        <w:pStyle w:val="40"/>
      </w:pPr>
    </w:p>
    <w:p w14:paraId="1B174F8C">
      <w:pPr>
        <w:pStyle w:val="40"/>
      </w:pPr>
    </w:p>
    <w:p w14:paraId="5CFD815E">
      <w:pPr>
        <w:pStyle w:val="40"/>
      </w:pPr>
    </w:p>
    <w:p w14:paraId="337A9554">
      <w:pPr>
        <w:pStyle w:val="40"/>
      </w:pPr>
    </w:p>
    <w:p w14:paraId="43B49A12">
      <w:pPr>
        <w:jc w:val="center"/>
        <w:rPr>
          <w:b/>
          <w:bCs/>
          <w:snapToGrid w:val="0"/>
          <w:sz w:val="28"/>
          <w:szCs w:val="28"/>
        </w:rPr>
      </w:pPr>
    </w:p>
    <w:p w14:paraId="558A931F">
      <w:pPr>
        <w:ind w:firstLine="963" w:firstLineChars="344"/>
        <w:rPr>
          <w:b/>
          <w:bCs/>
          <w:sz w:val="28"/>
          <w:szCs w:val="28"/>
        </w:rPr>
      </w:pPr>
    </w:p>
    <w:p w14:paraId="5EA96C6E">
      <w:pPr>
        <w:spacing w:line="432" w:lineRule="auto"/>
        <w:ind w:firstLine="1129" w:firstLineChars="353"/>
        <w:rPr>
          <w:b/>
          <w:bCs/>
          <w:sz w:val="32"/>
          <w:szCs w:val="32"/>
          <w:u w:val="single"/>
        </w:rPr>
      </w:pPr>
      <w:r>
        <w:rPr>
          <w:b/>
          <w:bCs/>
          <w:sz w:val="32"/>
          <w:szCs w:val="32"/>
        </w:rPr>
        <w:t>投  标  人（公章）：</w:t>
      </w:r>
      <w:r>
        <w:rPr>
          <w:bCs/>
          <w:sz w:val="32"/>
          <w:szCs w:val="32"/>
          <w:u w:val="single"/>
        </w:rPr>
        <w:t xml:space="preserve">                          </w:t>
      </w:r>
    </w:p>
    <w:p w14:paraId="24CEC3E8">
      <w:pPr>
        <w:ind w:firstLine="1100" w:firstLineChars="344"/>
        <w:rPr>
          <w:b/>
          <w:bCs/>
          <w:sz w:val="32"/>
          <w:szCs w:val="32"/>
        </w:rPr>
      </w:pPr>
    </w:p>
    <w:p w14:paraId="1A6ED5D1">
      <w:pPr>
        <w:spacing w:line="432" w:lineRule="auto"/>
        <w:ind w:firstLine="1052" w:firstLineChars="376"/>
        <w:rPr>
          <w:b/>
          <w:bCs/>
          <w:spacing w:val="-20"/>
          <w:sz w:val="32"/>
          <w:szCs w:val="32"/>
        </w:rPr>
      </w:pPr>
      <w:r>
        <w:rPr>
          <w:b/>
          <w:bCs/>
          <w:spacing w:val="-20"/>
          <w:sz w:val="32"/>
          <w:szCs w:val="32"/>
        </w:rPr>
        <w:t>法定代表人（签字或盖章）</w:t>
      </w:r>
      <w:r>
        <w:rPr>
          <w:b/>
          <w:bCs/>
          <w:sz w:val="32"/>
          <w:szCs w:val="32"/>
        </w:rPr>
        <w:t>：</w:t>
      </w:r>
    </w:p>
    <w:p w14:paraId="16546608">
      <w:pPr>
        <w:spacing w:line="432" w:lineRule="auto"/>
        <w:ind w:firstLine="1052" w:firstLineChars="376"/>
        <w:rPr>
          <w:b/>
          <w:bCs/>
          <w:sz w:val="32"/>
          <w:szCs w:val="32"/>
        </w:rPr>
      </w:pPr>
      <w:r>
        <w:rPr>
          <w:b/>
          <w:bCs/>
          <w:spacing w:val="-20"/>
          <w:sz w:val="32"/>
          <w:szCs w:val="32"/>
        </w:rPr>
        <w:t>或委托代理人</w:t>
      </w:r>
      <w:r>
        <w:rPr>
          <w:b/>
          <w:bCs/>
          <w:sz w:val="32"/>
          <w:szCs w:val="32"/>
        </w:rPr>
        <w:t xml:space="preserve"> </w:t>
      </w:r>
      <w:r>
        <w:rPr>
          <w:bCs/>
          <w:sz w:val="32"/>
          <w:szCs w:val="32"/>
          <w:u w:val="single"/>
        </w:rPr>
        <w:t xml:space="preserve">            </w:t>
      </w:r>
    </w:p>
    <w:p w14:paraId="66A29198">
      <w:pPr>
        <w:spacing w:line="600" w:lineRule="exact"/>
        <w:ind w:firstLine="629"/>
        <w:rPr>
          <w:b/>
          <w:sz w:val="32"/>
          <w:u w:val="single"/>
        </w:rPr>
      </w:pPr>
    </w:p>
    <w:p w14:paraId="667BA559">
      <w:pPr>
        <w:tabs>
          <w:tab w:val="left" w:pos="1995"/>
        </w:tabs>
        <w:spacing w:line="600" w:lineRule="exact"/>
        <w:ind w:firstLine="1280" w:firstLineChars="400"/>
        <w:rPr>
          <w:sz w:val="20"/>
        </w:rPr>
      </w:pPr>
      <w:r>
        <w:rPr>
          <w:rFonts w:hint="eastAsia"/>
          <w:b/>
          <w:sz w:val="32"/>
        </w:rPr>
        <w:t>日    期：       年    月    日</w:t>
      </w:r>
      <w:r>
        <w:rPr>
          <w:rFonts w:hint="eastAsia"/>
          <w:sz w:val="20"/>
        </w:rPr>
        <w:t xml:space="preserve"> </w:t>
      </w:r>
    </w:p>
    <w:p w14:paraId="011B918E">
      <w:pPr>
        <w:pStyle w:val="40"/>
      </w:pPr>
    </w:p>
    <w:p w14:paraId="04471C76">
      <w:pPr>
        <w:pStyle w:val="40"/>
      </w:pPr>
    </w:p>
    <w:p w14:paraId="5A502709">
      <w:pPr>
        <w:pStyle w:val="40"/>
      </w:pPr>
    </w:p>
    <w:p w14:paraId="1E982593">
      <w:pPr>
        <w:spacing w:after="100" w:afterAutospacing="1"/>
        <w:jc w:val="center"/>
        <w:rPr>
          <w:rFonts w:eastAsia="黑体"/>
          <w:b/>
          <w:sz w:val="32"/>
        </w:rPr>
      </w:pPr>
      <w:r>
        <w:rPr>
          <w:rFonts w:eastAsia="黑体"/>
          <w:b/>
          <w:sz w:val="32"/>
        </w:rPr>
        <w:t>目   录</w:t>
      </w:r>
    </w:p>
    <w:p w14:paraId="5CB3A3B3">
      <w:pPr>
        <w:spacing w:after="100" w:afterAutospacing="1" w:line="200" w:lineRule="atLeast"/>
        <w:ind w:firstLine="482"/>
        <w:rPr>
          <w:rFonts w:eastAsia="黑体"/>
          <w:b/>
        </w:rPr>
      </w:pPr>
      <w:bookmarkStart w:id="373" w:name="_Hlk153977522"/>
      <w:r>
        <w:rPr>
          <w:rFonts w:eastAsia="黑体"/>
          <w:b/>
        </w:rPr>
        <w:t>一、投标函</w:t>
      </w:r>
    </w:p>
    <w:p w14:paraId="4F101A1E">
      <w:pPr>
        <w:spacing w:after="100" w:afterAutospacing="1" w:line="200" w:lineRule="atLeast"/>
        <w:ind w:firstLine="482"/>
        <w:rPr>
          <w:rFonts w:eastAsia="黑体"/>
          <w:b/>
        </w:rPr>
      </w:pPr>
      <w:r>
        <w:rPr>
          <w:rFonts w:eastAsia="黑体"/>
          <w:b/>
        </w:rPr>
        <w:t>二、法定代表人身份证明</w:t>
      </w:r>
    </w:p>
    <w:p w14:paraId="5CE02F71">
      <w:pPr>
        <w:spacing w:after="100" w:afterAutospacing="1" w:line="200" w:lineRule="atLeast"/>
        <w:ind w:firstLine="482"/>
        <w:rPr>
          <w:rFonts w:eastAsia="黑体"/>
          <w:b/>
        </w:rPr>
      </w:pPr>
      <w:r>
        <w:rPr>
          <w:rFonts w:eastAsia="黑体"/>
          <w:b/>
        </w:rPr>
        <w:t>三、授权委托书</w:t>
      </w:r>
    </w:p>
    <w:p w14:paraId="059FFE8F">
      <w:pPr>
        <w:spacing w:after="100" w:afterAutospacing="1" w:line="200" w:lineRule="atLeast"/>
        <w:ind w:firstLine="482"/>
        <w:rPr>
          <w:rFonts w:eastAsia="黑体"/>
          <w:b/>
        </w:rPr>
      </w:pPr>
      <w:r>
        <w:rPr>
          <w:rFonts w:eastAsia="黑体"/>
          <w:b/>
        </w:rPr>
        <w:t>四、资格审查资料</w:t>
      </w:r>
    </w:p>
    <w:p w14:paraId="3EB00D78">
      <w:pPr>
        <w:spacing w:after="100" w:afterAutospacing="1" w:line="200" w:lineRule="atLeast"/>
        <w:ind w:firstLine="482"/>
        <w:rPr>
          <w:rFonts w:eastAsia="黑体"/>
          <w:b/>
        </w:rPr>
      </w:pPr>
      <w:r>
        <w:rPr>
          <w:rFonts w:eastAsia="黑体"/>
          <w:b/>
        </w:rPr>
        <w:t>五、投标报价表</w:t>
      </w:r>
    </w:p>
    <w:p w14:paraId="0EC0712B">
      <w:pPr>
        <w:spacing w:after="100" w:afterAutospacing="1" w:line="200" w:lineRule="atLeast"/>
        <w:ind w:firstLine="482"/>
        <w:rPr>
          <w:rFonts w:eastAsia="黑体"/>
          <w:b/>
        </w:rPr>
      </w:pPr>
      <w:r>
        <w:rPr>
          <w:rFonts w:hint="eastAsia" w:eastAsia="黑体"/>
          <w:b/>
        </w:rPr>
        <w:t>六</w:t>
      </w:r>
      <w:r>
        <w:rPr>
          <w:rFonts w:eastAsia="黑体"/>
          <w:b/>
        </w:rPr>
        <w:t>、</w:t>
      </w:r>
      <w:r>
        <w:rPr>
          <w:rFonts w:hint="eastAsia" w:eastAsia="黑体"/>
          <w:b/>
        </w:rPr>
        <w:t>其它资料</w:t>
      </w:r>
    </w:p>
    <w:bookmarkEnd w:id="373"/>
    <w:p w14:paraId="370BB98F">
      <w:pPr>
        <w:spacing w:after="100" w:afterAutospacing="1" w:line="200" w:lineRule="atLeast"/>
        <w:rPr>
          <w:rFonts w:eastAsia="黑体"/>
          <w:b/>
        </w:rPr>
      </w:pPr>
    </w:p>
    <w:p w14:paraId="2E517AC4">
      <w:pPr>
        <w:rPr>
          <w:szCs w:val="22"/>
        </w:rPr>
      </w:pPr>
    </w:p>
    <w:p w14:paraId="02D361EE">
      <w:pPr>
        <w:pStyle w:val="40"/>
        <w:sectPr>
          <w:headerReference r:id="rId9" w:type="default"/>
          <w:footerReference r:id="rId10" w:type="default"/>
          <w:pgSz w:w="11906" w:h="16838"/>
          <w:pgMar w:top="1474" w:right="1361" w:bottom="1361" w:left="1418" w:header="851" w:footer="851" w:gutter="0"/>
          <w:pgNumType w:start="1"/>
          <w:cols w:space="720" w:num="1"/>
          <w:docGrid w:type="linesAndChars" w:linePitch="312" w:charSpace="0"/>
        </w:sectPr>
      </w:pPr>
    </w:p>
    <w:p w14:paraId="2B1EB444">
      <w:pPr>
        <w:pStyle w:val="3"/>
        <w:rPr>
          <w:rFonts w:ascii="Times New Roman" w:hAnsi="Times New Roman"/>
        </w:rPr>
      </w:pPr>
      <w:bookmarkStart w:id="374" w:name="_Toc511387441"/>
      <w:bookmarkStart w:id="375" w:name="_Toc8375"/>
      <w:bookmarkStart w:id="376" w:name="_Toc68108442"/>
      <w:r>
        <w:rPr>
          <w:rFonts w:ascii="Times New Roman" w:hAnsi="Times New Roman"/>
        </w:rPr>
        <w:t>一、投标函</w:t>
      </w:r>
      <w:bookmarkEnd w:id="374"/>
      <w:bookmarkEnd w:id="375"/>
      <w:bookmarkEnd w:id="376"/>
    </w:p>
    <w:p w14:paraId="1D2949F1">
      <w:pPr>
        <w:ind w:firstLine="3634" w:firstLineChars="826"/>
        <w:rPr>
          <w:b/>
          <w:sz w:val="44"/>
          <w:szCs w:val="44"/>
        </w:rPr>
      </w:pPr>
      <w:r>
        <w:rPr>
          <w:b/>
          <w:sz w:val="44"/>
          <w:szCs w:val="44"/>
        </w:rPr>
        <w:t>投标函</w:t>
      </w:r>
    </w:p>
    <w:p w14:paraId="1017F0BC">
      <w:pPr>
        <w:pStyle w:val="40"/>
      </w:pPr>
    </w:p>
    <w:p w14:paraId="5799B380">
      <w:pPr>
        <w:rPr>
          <w:rFonts w:eastAsiaTheme="minorEastAsia"/>
          <w:bCs/>
        </w:rPr>
      </w:pPr>
      <w:r>
        <w:rPr>
          <w:rFonts w:hint="eastAsia" w:eastAsiaTheme="minorEastAsia"/>
          <w:bCs/>
          <w:u w:val="single"/>
        </w:rPr>
        <w:t>宜宾市南溪区中和教育文体发展有限公司</w:t>
      </w:r>
      <w:r>
        <w:rPr>
          <w:rFonts w:eastAsiaTheme="minorEastAsia"/>
          <w:bCs/>
        </w:rPr>
        <w:t>：</w:t>
      </w:r>
    </w:p>
    <w:p w14:paraId="2CE2FED2">
      <w:pPr>
        <w:wordWrap w:val="0"/>
        <w:ind w:firstLine="484" w:firstLineChars="202"/>
      </w:pPr>
      <w:bookmarkStart w:id="377" w:name="_Hlk56023715"/>
      <w:r>
        <w:t>1．根据已收到的</w:t>
      </w:r>
      <w:r>
        <w:rPr>
          <w:u w:val="single"/>
        </w:rPr>
        <w:t xml:space="preserve">              </w:t>
      </w:r>
      <w:r>
        <w:t>项目的招标文件，我单位经研究招标文件和有关资料后，决定无保留地接受招标文件所有条款，根据本项目的特点、工作量、自身实力、市场行情进行报价，愿以</w:t>
      </w:r>
      <w:r>
        <w:rPr>
          <w:b/>
          <w:bCs/>
        </w:rPr>
        <w:t>人民币（大写）</w:t>
      </w:r>
      <w:r>
        <w:rPr>
          <w:b/>
          <w:bCs/>
          <w:u w:val="single"/>
        </w:rPr>
        <w:t xml:space="preserve">                      </w:t>
      </w:r>
      <w:r>
        <w:rPr>
          <w:b/>
          <w:bCs/>
        </w:rPr>
        <w:t>（¥：</w:t>
      </w:r>
      <w:r>
        <w:rPr>
          <w:b/>
          <w:bCs/>
          <w:u w:val="single"/>
        </w:rPr>
        <w:t xml:space="preserve">       </w:t>
      </w:r>
      <w:r>
        <w:rPr>
          <w:b/>
          <w:bCs/>
        </w:rPr>
        <w:t>元）</w:t>
      </w:r>
      <w:r>
        <w:t>的投标报价</w:t>
      </w:r>
      <w:r>
        <w:rPr>
          <w:rFonts w:hint="eastAsia"/>
        </w:rPr>
        <w:t>，</w:t>
      </w:r>
      <w:r>
        <w:t>按招标文件和合同约定承担招标范围内的所有服务工作，并承担法律法规规定的责任和义务。</w:t>
      </w:r>
    </w:p>
    <w:p w14:paraId="306D09E0">
      <w:pPr>
        <w:ind w:firstLine="480"/>
      </w:pPr>
      <w:r>
        <w:t>2．如果我方中标，将派出</w:t>
      </w:r>
      <w:r>
        <w:rPr>
          <w:u w:val="single"/>
        </w:rPr>
        <w:t xml:space="preserve">          </w:t>
      </w:r>
      <w:r>
        <w:rPr>
          <w:b/>
          <w:bCs/>
        </w:rPr>
        <w:t>（姓名）</w:t>
      </w:r>
      <w:r>
        <w:t>作为本项目的项目负责人。</w:t>
      </w:r>
    </w:p>
    <w:p w14:paraId="79A495E1">
      <w:pPr>
        <w:ind w:firstLine="480"/>
      </w:pPr>
      <w:r>
        <w:t>3．我方保证在</w:t>
      </w:r>
      <w:r>
        <w:rPr>
          <w:b/>
          <w:bCs/>
          <w:u w:val="single"/>
        </w:rPr>
        <w:t>招标文件规定的服务期内</w:t>
      </w:r>
      <w:r>
        <w:t>，本项目质量</w:t>
      </w:r>
      <w:r>
        <w:rPr>
          <w:rFonts w:hint="eastAsia"/>
          <w:b/>
          <w:u w:val="single"/>
        </w:rPr>
        <w:t>符合国家相关规定和招标人要求，完成数据资源的顶层设计，开发设计并通过不少于3项数据产品的确权登记和价值评估并入表（以确权登记证和价值评估报告为准）</w:t>
      </w:r>
      <w:r>
        <w:t>。</w:t>
      </w:r>
    </w:p>
    <w:p w14:paraId="128D89FF">
      <w:pPr>
        <w:ind w:firstLine="480"/>
      </w:pPr>
      <w:r>
        <w:t>4．我方承诺：我方投标文件提供的用于评审的所有证书、资料均真实、有效。如违反上述承诺，可视为我方存在弄虚作假行为，我方自愿放弃中标资格，并接受你方及行业主管部门的相关处罚。</w:t>
      </w:r>
    </w:p>
    <w:p w14:paraId="60AFD585">
      <w:pPr>
        <w:ind w:firstLine="480"/>
        <w:rPr>
          <w:bCs/>
        </w:rPr>
      </w:pPr>
      <w:r>
        <w:rPr>
          <w:bCs/>
        </w:rPr>
        <w:t>5. 我方承诺在本次投标过程中无弄虚作假和串通投标等违法、违规行为，并愿意承担因弄虚作假和串通投标所引起的一切法律责任。</w:t>
      </w:r>
    </w:p>
    <w:p w14:paraId="25D1FFF0">
      <w:pPr>
        <w:ind w:firstLine="480"/>
      </w:pPr>
      <w:r>
        <w:t>6．我方承诺在招标文件规定的投标有</w:t>
      </w:r>
      <w:r>
        <w:rPr>
          <w:rFonts w:hint="eastAsia"/>
        </w:rPr>
        <w:t>效</w:t>
      </w:r>
      <w:r>
        <w:t>期内不修改、撤销投标文件。</w:t>
      </w:r>
    </w:p>
    <w:p w14:paraId="32FE8E79">
      <w:pPr>
        <w:ind w:firstLine="480"/>
      </w:pPr>
      <w:r>
        <w:t>7．如我方中标：</w:t>
      </w:r>
    </w:p>
    <w:p w14:paraId="0353DA69">
      <w:pPr>
        <w:ind w:firstLine="480"/>
      </w:pPr>
      <w:r>
        <w:t>（1）我方承诺在收到中标通知书后，在中标通知书规定的期限内与你方签订合同。</w:t>
      </w:r>
    </w:p>
    <w:p w14:paraId="0F1D9253">
      <w:pPr>
        <w:ind w:firstLine="480"/>
      </w:pPr>
      <w:r>
        <w:t>（2）我方将严格履行本投标文件中的全部承诺和责任，并遵守招标文件中对投标人的所有规定。</w:t>
      </w:r>
    </w:p>
    <w:p w14:paraId="3477BB0C">
      <w:pPr>
        <w:ind w:left="547" w:leftChars="228"/>
      </w:pPr>
      <w:r>
        <w:t>8．我方在此声明，所递交的投标文件及有关资料内容完整、真实和准确</w:t>
      </w:r>
      <w:r>
        <w:rPr>
          <w:rFonts w:hint="eastAsia"/>
        </w:rPr>
        <w:t>。</w:t>
      </w:r>
    </w:p>
    <w:p w14:paraId="37C5EB09">
      <w:pPr>
        <w:ind w:left="547" w:leftChars="228"/>
        <w:rPr>
          <w:highlight w:val="none"/>
        </w:rPr>
      </w:pPr>
      <w:r>
        <w:rPr>
          <w:highlight w:val="none"/>
        </w:rPr>
        <w:t>9．</w:t>
      </w:r>
      <w:r>
        <w:rPr>
          <w:rFonts w:hint="eastAsia"/>
          <w:highlight w:val="none"/>
        </w:rPr>
        <w:t>我方承诺我方满足招标公告中财务要求和信誉要求</w:t>
      </w:r>
      <w:r>
        <w:rPr>
          <w:highlight w:val="none"/>
        </w:rPr>
        <w:t>。</w:t>
      </w:r>
    </w:p>
    <w:p w14:paraId="2E56B035">
      <w:pPr>
        <w:ind w:firstLine="480"/>
      </w:pPr>
    </w:p>
    <w:p w14:paraId="6A3481F0">
      <w:pPr>
        <w:ind w:firstLine="480"/>
      </w:pPr>
      <w:r>
        <w:t>投标人(公章)：</w:t>
      </w:r>
      <w:r>
        <w:rPr>
          <w:u w:val="single"/>
        </w:rPr>
        <w:t xml:space="preserve">                         </w:t>
      </w:r>
      <w:r>
        <w:t xml:space="preserve"> </w:t>
      </w:r>
    </w:p>
    <w:p w14:paraId="0A36D208">
      <w:pPr>
        <w:ind w:firstLine="480"/>
      </w:pPr>
      <w:r>
        <w:t xml:space="preserve">单位地址： </w:t>
      </w:r>
      <w:r>
        <w:rPr>
          <w:u w:val="single"/>
        </w:rPr>
        <w:t xml:space="preserve">                             </w:t>
      </w:r>
      <w:r>
        <w:t xml:space="preserve">          </w:t>
      </w:r>
    </w:p>
    <w:p w14:paraId="4C9D4CE0">
      <w:pPr>
        <w:ind w:firstLine="480"/>
        <w:rPr>
          <w:u w:val="single"/>
        </w:rPr>
      </w:pPr>
      <w:r>
        <w:t>法定代表人或委托代理人（签字或印章）：</w:t>
      </w:r>
      <w:r>
        <w:rPr>
          <w:u w:val="single"/>
        </w:rPr>
        <w:t xml:space="preserve">               </w:t>
      </w:r>
    </w:p>
    <w:p w14:paraId="0CB33230">
      <w:pPr>
        <w:ind w:firstLine="480"/>
      </w:pPr>
      <w:r>
        <w:t>邮政编码：</w:t>
      </w:r>
      <w:r>
        <w:rPr>
          <w:u w:val="single"/>
        </w:rPr>
        <w:t xml:space="preserve">                      </w:t>
      </w:r>
      <w:r>
        <w:t xml:space="preserve">             </w:t>
      </w:r>
    </w:p>
    <w:p w14:paraId="0D977388">
      <w:pPr>
        <w:ind w:firstLine="480"/>
      </w:pPr>
      <w:r>
        <w:t>传    真：</w:t>
      </w:r>
      <w:r>
        <w:rPr>
          <w:u w:val="single"/>
        </w:rPr>
        <w:t xml:space="preserve">                      </w:t>
      </w:r>
      <w:r>
        <w:t xml:space="preserve">  </w:t>
      </w:r>
    </w:p>
    <w:p w14:paraId="50D30582">
      <w:pPr>
        <w:ind w:firstLine="480"/>
      </w:pPr>
      <w:r>
        <w:t>电    话：</w:t>
      </w:r>
      <w:r>
        <w:rPr>
          <w:u w:val="single"/>
        </w:rPr>
        <w:t xml:space="preserve">                      </w:t>
      </w:r>
      <w:r>
        <w:t xml:space="preserve">                     </w:t>
      </w:r>
    </w:p>
    <w:p w14:paraId="379120ED">
      <w:pPr>
        <w:ind w:firstLine="480"/>
      </w:pPr>
      <w:r>
        <w:t xml:space="preserve">日 期： </w:t>
      </w:r>
      <w:r>
        <w:rPr>
          <w:u w:val="single"/>
        </w:rPr>
        <w:t xml:space="preserve">          </w:t>
      </w:r>
      <w:r>
        <w:t>年</w:t>
      </w:r>
      <w:r>
        <w:rPr>
          <w:u w:val="single"/>
        </w:rPr>
        <w:t xml:space="preserve">        </w:t>
      </w:r>
      <w:r>
        <w:t>月</w:t>
      </w:r>
      <w:r>
        <w:rPr>
          <w:u w:val="single"/>
        </w:rPr>
        <w:t xml:space="preserve">        </w:t>
      </w:r>
      <w:r>
        <w:t>日</w:t>
      </w:r>
    </w:p>
    <w:bookmarkEnd w:id="377"/>
    <w:p w14:paraId="60F69D83">
      <w:pPr>
        <w:pStyle w:val="40"/>
      </w:pPr>
      <w:bookmarkStart w:id="378" w:name="_Toc68108443"/>
    </w:p>
    <w:p w14:paraId="2845F8F1">
      <w:pPr>
        <w:pStyle w:val="40"/>
      </w:pPr>
    </w:p>
    <w:p w14:paraId="6B22C21F">
      <w:pPr>
        <w:pStyle w:val="40"/>
      </w:pPr>
    </w:p>
    <w:p w14:paraId="6430426A">
      <w:pPr>
        <w:pStyle w:val="3"/>
        <w:rPr>
          <w:rFonts w:ascii="Times New Roman" w:hAnsi="Times New Roman"/>
        </w:rPr>
      </w:pPr>
      <w:bookmarkStart w:id="379" w:name="_Toc23600"/>
      <w:r>
        <w:rPr>
          <w:rFonts w:ascii="Times New Roman" w:hAnsi="Times New Roman"/>
        </w:rPr>
        <w:t>二、法定代表人身份证明</w:t>
      </w:r>
      <w:bookmarkEnd w:id="378"/>
      <w:bookmarkEnd w:id="379"/>
    </w:p>
    <w:p w14:paraId="36EE5452">
      <w:pPr>
        <w:ind w:firstLine="352" w:firstLineChars="110"/>
        <w:jc w:val="center"/>
        <w:rPr>
          <w:b/>
          <w:bCs/>
          <w:sz w:val="32"/>
          <w:szCs w:val="32"/>
        </w:rPr>
      </w:pPr>
    </w:p>
    <w:p w14:paraId="4826EE33">
      <w:pPr>
        <w:ind w:firstLine="352" w:firstLineChars="110"/>
        <w:jc w:val="center"/>
        <w:rPr>
          <w:b/>
          <w:bCs/>
          <w:sz w:val="32"/>
          <w:szCs w:val="32"/>
        </w:rPr>
      </w:pPr>
      <w:r>
        <w:rPr>
          <w:b/>
          <w:bCs/>
          <w:sz w:val="32"/>
          <w:szCs w:val="32"/>
        </w:rPr>
        <w:t>法定代表人身份证明</w:t>
      </w:r>
    </w:p>
    <w:p w14:paraId="4C1A3D62">
      <w:pPr>
        <w:pStyle w:val="40"/>
      </w:pPr>
    </w:p>
    <w:p w14:paraId="2856FAB9">
      <w:pPr>
        <w:pStyle w:val="90"/>
        <w:widowControl w:val="0"/>
        <w:wordWrap w:val="0"/>
        <w:autoSpaceDE w:val="0"/>
        <w:autoSpaceDN w:val="0"/>
        <w:adjustRightInd w:val="0"/>
        <w:spacing w:line="360" w:lineRule="auto"/>
        <w:ind w:firstLine="480" w:firstLineChars="200"/>
      </w:pPr>
      <w:bookmarkStart w:id="380" w:name="_Toc68108444"/>
      <w:r>
        <w:t>投 标 人：</w:t>
      </w:r>
      <w:r>
        <w:rPr>
          <w:u w:val="single"/>
        </w:rPr>
        <w:t xml:space="preserve">                      </w:t>
      </w:r>
    </w:p>
    <w:p w14:paraId="0509A9B7">
      <w:pPr>
        <w:pStyle w:val="90"/>
        <w:widowControl w:val="0"/>
        <w:wordWrap w:val="0"/>
        <w:autoSpaceDE w:val="0"/>
        <w:autoSpaceDN w:val="0"/>
        <w:adjustRightInd w:val="0"/>
        <w:spacing w:line="360" w:lineRule="auto"/>
        <w:ind w:firstLine="480" w:firstLineChars="200"/>
      </w:pPr>
      <w:r>
        <w:t>单位性质：</w:t>
      </w:r>
      <w:r>
        <w:rPr>
          <w:u w:val="single"/>
        </w:rPr>
        <w:t xml:space="preserve">                      </w:t>
      </w:r>
    </w:p>
    <w:p w14:paraId="383BCE15">
      <w:pPr>
        <w:pStyle w:val="90"/>
        <w:widowControl w:val="0"/>
        <w:wordWrap w:val="0"/>
        <w:autoSpaceDE w:val="0"/>
        <w:autoSpaceDN w:val="0"/>
        <w:adjustRightInd w:val="0"/>
        <w:spacing w:line="360" w:lineRule="auto"/>
        <w:ind w:firstLine="480" w:firstLineChars="200"/>
        <w:rPr>
          <w:u w:val="single"/>
        </w:rPr>
      </w:pPr>
      <w:r>
        <w:t>地    址：</w:t>
      </w:r>
      <w:r>
        <w:rPr>
          <w:u w:val="single"/>
        </w:rPr>
        <w:t xml:space="preserve">                      </w:t>
      </w:r>
    </w:p>
    <w:p w14:paraId="4FCEF47B">
      <w:pPr>
        <w:pStyle w:val="90"/>
        <w:widowControl w:val="0"/>
        <w:wordWrap w:val="0"/>
        <w:autoSpaceDE w:val="0"/>
        <w:autoSpaceDN w:val="0"/>
        <w:adjustRightInd w:val="0"/>
        <w:spacing w:line="360" w:lineRule="auto"/>
        <w:ind w:firstLine="480" w:firstLineChars="200"/>
      </w:pPr>
      <w:r>
        <w:t>成立时间：</w:t>
      </w:r>
      <w:r>
        <w:rPr>
          <w:u w:val="single"/>
        </w:rPr>
        <w:t xml:space="preserve">        </w:t>
      </w:r>
      <w:r>
        <w:t>年</w:t>
      </w:r>
      <w:r>
        <w:rPr>
          <w:u w:val="single"/>
        </w:rPr>
        <w:t xml:space="preserve">     </w:t>
      </w:r>
      <w:r>
        <w:rPr>
          <w:rFonts w:hint="eastAsia"/>
          <w:u w:val="single"/>
        </w:rPr>
        <w:t xml:space="preserve">  </w:t>
      </w:r>
      <w:r>
        <w:t>月</w:t>
      </w:r>
      <w:r>
        <w:rPr>
          <w:u w:val="single"/>
        </w:rPr>
        <w:t xml:space="preserve">    </w:t>
      </w:r>
      <w:r>
        <w:rPr>
          <w:rFonts w:hint="eastAsia"/>
          <w:u w:val="single"/>
        </w:rPr>
        <w:t xml:space="preserve">  </w:t>
      </w:r>
      <w:r>
        <w:t>日</w:t>
      </w:r>
    </w:p>
    <w:p w14:paraId="08B8D24E">
      <w:pPr>
        <w:pStyle w:val="90"/>
        <w:widowControl w:val="0"/>
        <w:wordWrap w:val="0"/>
        <w:autoSpaceDE w:val="0"/>
        <w:autoSpaceDN w:val="0"/>
        <w:adjustRightInd w:val="0"/>
        <w:spacing w:line="360" w:lineRule="auto"/>
        <w:ind w:firstLine="480" w:firstLineChars="200"/>
      </w:pPr>
      <w:r>
        <w:t>经营期限：</w:t>
      </w:r>
      <w:r>
        <w:rPr>
          <w:u w:val="single"/>
        </w:rPr>
        <w:t xml:space="preserve">                      </w:t>
      </w:r>
    </w:p>
    <w:p w14:paraId="5911100C">
      <w:pPr>
        <w:pStyle w:val="90"/>
        <w:widowControl w:val="0"/>
        <w:wordWrap w:val="0"/>
        <w:autoSpaceDE w:val="0"/>
        <w:autoSpaceDN w:val="0"/>
        <w:adjustRightInd w:val="0"/>
        <w:spacing w:line="360" w:lineRule="auto"/>
        <w:ind w:firstLine="480" w:firstLineChars="200"/>
      </w:pPr>
      <w:r>
        <w:t>姓    名：</w:t>
      </w:r>
      <w:r>
        <w:rPr>
          <w:u w:val="single"/>
        </w:rPr>
        <w:t xml:space="preserve">                </w:t>
      </w:r>
      <w:r>
        <w:t xml:space="preserve">    性        别：</w:t>
      </w:r>
      <w:r>
        <w:rPr>
          <w:rFonts w:hint="eastAsia"/>
          <w:u w:val="single"/>
        </w:rPr>
        <w:t xml:space="preserve">             </w:t>
      </w:r>
      <w:r>
        <w:rPr>
          <w:rFonts w:hint="eastAsia"/>
        </w:rPr>
        <w:t xml:space="preserve"> </w:t>
      </w:r>
    </w:p>
    <w:p w14:paraId="53422861">
      <w:pPr>
        <w:pStyle w:val="90"/>
        <w:widowControl w:val="0"/>
        <w:wordWrap w:val="0"/>
        <w:autoSpaceDE w:val="0"/>
        <w:autoSpaceDN w:val="0"/>
        <w:adjustRightInd w:val="0"/>
        <w:spacing w:line="360" w:lineRule="auto"/>
        <w:ind w:firstLine="480" w:firstLineChars="200"/>
      </w:pPr>
      <w:r>
        <w:t>年    龄：</w:t>
      </w:r>
      <w:r>
        <w:rPr>
          <w:u w:val="single"/>
        </w:rPr>
        <w:t xml:space="preserve">                </w:t>
      </w:r>
      <w:r>
        <w:t xml:space="preserve">    职        务：</w:t>
      </w:r>
      <w:r>
        <w:rPr>
          <w:u w:val="single"/>
        </w:rPr>
        <w:t xml:space="preserve">                </w:t>
      </w:r>
    </w:p>
    <w:p w14:paraId="38C31873">
      <w:pPr>
        <w:pStyle w:val="90"/>
        <w:widowControl w:val="0"/>
        <w:wordWrap w:val="0"/>
        <w:autoSpaceDE w:val="0"/>
        <w:autoSpaceDN w:val="0"/>
        <w:adjustRightInd w:val="0"/>
        <w:spacing w:line="360" w:lineRule="auto"/>
        <w:ind w:firstLine="480" w:firstLineChars="200"/>
      </w:pPr>
      <w:r>
        <w:t>系</w:t>
      </w:r>
      <w:r>
        <w:rPr>
          <w:u w:val="single"/>
        </w:rPr>
        <w:t xml:space="preserve">                           </w:t>
      </w:r>
      <w:r>
        <w:t>（投标人名称）的法定代表人。</w:t>
      </w:r>
    </w:p>
    <w:p w14:paraId="2C1E28E2">
      <w:pPr>
        <w:pStyle w:val="90"/>
        <w:widowControl w:val="0"/>
        <w:wordWrap w:val="0"/>
        <w:autoSpaceDE w:val="0"/>
        <w:autoSpaceDN w:val="0"/>
        <w:adjustRightInd w:val="0"/>
        <w:spacing w:line="360" w:lineRule="auto"/>
        <w:ind w:firstLine="960" w:firstLineChars="400"/>
      </w:pPr>
      <w:r>
        <w:t>特此证明。</w:t>
      </w:r>
    </w:p>
    <w:p w14:paraId="768B5B9F">
      <w:pPr>
        <w:pStyle w:val="90"/>
        <w:widowControl w:val="0"/>
        <w:wordWrap w:val="0"/>
        <w:autoSpaceDE w:val="0"/>
        <w:autoSpaceDN w:val="0"/>
        <w:adjustRightInd w:val="0"/>
        <w:spacing w:line="360" w:lineRule="auto"/>
        <w:ind w:firstLine="480" w:firstLineChars="200"/>
      </w:pPr>
    </w:p>
    <w:p w14:paraId="3D164DFE">
      <w:pPr>
        <w:pStyle w:val="90"/>
        <w:widowControl w:val="0"/>
        <w:wordWrap w:val="0"/>
        <w:autoSpaceDE w:val="0"/>
        <w:autoSpaceDN w:val="0"/>
        <w:adjustRightInd w:val="0"/>
        <w:spacing w:line="360" w:lineRule="auto"/>
        <w:ind w:firstLine="480" w:firstLineChars="200"/>
      </w:pPr>
      <w:r>
        <w:t>附：法定代表人身份证复印件。</w:t>
      </w:r>
    </w:p>
    <w:p w14:paraId="1F6F0098">
      <w:pPr>
        <w:pStyle w:val="90"/>
        <w:autoSpaceDE w:val="0"/>
        <w:autoSpaceDN w:val="0"/>
        <w:adjustRightInd w:val="0"/>
        <w:spacing w:line="360" w:lineRule="auto"/>
        <w:ind w:firstLine="480" w:firstLineChars="200"/>
      </w:pPr>
    </w:p>
    <w:p w14:paraId="403B641B">
      <w:pPr>
        <w:pStyle w:val="90"/>
        <w:autoSpaceDE w:val="0"/>
        <w:autoSpaceDN w:val="0"/>
        <w:adjustRightInd w:val="0"/>
        <w:spacing w:line="360" w:lineRule="auto"/>
        <w:ind w:firstLine="480" w:firstLineChars="200"/>
      </w:pPr>
    </w:p>
    <w:p w14:paraId="1552E04A">
      <w:pPr>
        <w:pStyle w:val="90"/>
        <w:autoSpaceDE w:val="0"/>
        <w:autoSpaceDN w:val="0"/>
        <w:adjustRightInd w:val="0"/>
        <w:spacing w:line="360" w:lineRule="auto"/>
        <w:ind w:firstLine="480" w:firstLineChars="200"/>
      </w:pPr>
    </w:p>
    <w:p w14:paraId="0DFDF252">
      <w:pPr>
        <w:pStyle w:val="90"/>
        <w:autoSpaceDE w:val="0"/>
        <w:autoSpaceDN w:val="0"/>
        <w:adjustRightInd w:val="0"/>
        <w:spacing w:line="360" w:lineRule="auto"/>
        <w:ind w:firstLine="480" w:firstLineChars="200"/>
      </w:pPr>
    </w:p>
    <w:p w14:paraId="05A7234C">
      <w:pPr>
        <w:pStyle w:val="90"/>
        <w:autoSpaceDE w:val="0"/>
        <w:autoSpaceDN w:val="0"/>
        <w:adjustRightInd w:val="0"/>
        <w:spacing w:line="360" w:lineRule="auto"/>
        <w:ind w:firstLine="2280" w:firstLineChars="950"/>
      </w:pPr>
      <w:r>
        <w:t>投标人：</w:t>
      </w:r>
      <w:r>
        <w:rPr>
          <w:u w:val="single"/>
        </w:rPr>
        <w:t xml:space="preserve">                          </w:t>
      </w:r>
      <w:r>
        <w:t>（盖单位章）</w:t>
      </w:r>
    </w:p>
    <w:p w14:paraId="498AF8C6">
      <w:pPr>
        <w:pStyle w:val="90"/>
      </w:pPr>
      <w:r>
        <w:t xml:space="preserve">                         </w:t>
      </w:r>
      <w:r>
        <w:rPr>
          <w:u w:val="single"/>
        </w:rPr>
        <w:t xml:space="preserve">          </w:t>
      </w:r>
      <w:r>
        <w:t>年</w:t>
      </w:r>
      <w:r>
        <w:rPr>
          <w:u w:val="single"/>
        </w:rPr>
        <w:t xml:space="preserve">        </w:t>
      </w:r>
      <w:r>
        <w:t>月</w:t>
      </w:r>
      <w:r>
        <w:rPr>
          <w:u w:val="single"/>
        </w:rPr>
        <w:t xml:space="preserve">        </w:t>
      </w:r>
      <w:r>
        <w:t>日</w:t>
      </w:r>
    </w:p>
    <w:p w14:paraId="2D9EA4EE">
      <w:pPr>
        <w:pStyle w:val="3"/>
        <w:rPr>
          <w:rFonts w:ascii="Times New Roman" w:hAnsi="Times New Roman"/>
        </w:rPr>
      </w:pPr>
      <w:bookmarkStart w:id="381" w:name="_Toc26066"/>
      <w:r>
        <w:rPr>
          <w:rFonts w:ascii="Times New Roman" w:hAnsi="Times New Roman"/>
        </w:rPr>
        <w:t>三、授权委托书</w:t>
      </w:r>
      <w:bookmarkEnd w:id="380"/>
      <w:bookmarkEnd w:id="381"/>
    </w:p>
    <w:p w14:paraId="3826992A">
      <w:pPr>
        <w:ind w:firstLine="352" w:firstLineChars="110"/>
        <w:jc w:val="center"/>
        <w:rPr>
          <w:b/>
          <w:bCs/>
          <w:sz w:val="32"/>
          <w:szCs w:val="32"/>
        </w:rPr>
      </w:pPr>
      <w:bookmarkStart w:id="382" w:name="_Toc445796137"/>
      <w:r>
        <w:rPr>
          <w:b/>
          <w:bCs/>
          <w:sz w:val="32"/>
          <w:szCs w:val="32"/>
        </w:rPr>
        <w:t>授权委托书</w:t>
      </w:r>
    </w:p>
    <w:p w14:paraId="2C9FA152">
      <w:pPr>
        <w:autoSpaceDE w:val="0"/>
        <w:autoSpaceDN w:val="0"/>
        <w:ind w:firstLine="480"/>
      </w:pPr>
      <w:bookmarkStart w:id="383" w:name="_Hlk56024254"/>
    </w:p>
    <w:p w14:paraId="2FE5D58A">
      <w:pPr>
        <w:autoSpaceDE w:val="0"/>
        <w:autoSpaceDN w:val="0"/>
        <w:ind w:firstLine="480"/>
      </w:pPr>
      <w:r>
        <w:t>本人</w:t>
      </w:r>
      <w:r>
        <w:rPr>
          <w:u w:val="single"/>
        </w:rPr>
        <w:t xml:space="preserve">      </w:t>
      </w:r>
      <w:r>
        <w:rPr>
          <w:rFonts w:hint="eastAsia"/>
          <w:u w:val="single"/>
        </w:rPr>
        <w:t xml:space="preserve">    </w:t>
      </w:r>
      <w:r>
        <w:rPr>
          <w:u w:val="single"/>
        </w:rPr>
        <w:t xml:space="preserve">      </w:t>
      </w:r>
      <w:r>
        <w:rPr>
          <w:b/>
          <w:bCs/>
        </w:rPr>
        <w:t>（姓名）</w:t>
      </w:r>
      <w:r>
        <w:t>系</w:t>
      </w:r>
      <w:r>
        <w:rPr>
          <w:u w:val="single"/>
        </w:rPr>
        <w:t xml:space="preserve">       </w:t>
      </w:r>
      <w:r>
        <w:rPr>
          <w:rFonts w:hint="eastAsia"/>
          <w:u w:val="single"/>
        </w:rPr>
        <w:t xml:space="preserve">                          </w:t>
      </w:r>
      <w:r>
        <w:rPr>
          <w:u w:val="single"/>
        </w:rPr>
        <w:t xml:space="preserve">        </w:t>
      </w:r>
      <w:r>
        <w:rPr>
          <w:b/>
          <w:bCs/>
        </w:rPr>
        <w:t>（投标人名称）</w:t>
      </w:r>
      <w:r>
        <w:t>的法定代表人，现委托</w:t>
      </w:r>
      <w:r>
        <w:rPr>
          <w:u w:val="single"/>
        </w:rPr>
        <w:t xml:space="preserve">            </w:t>
      </w:r>
      <w:r>
        <w:rPr>
          <w:b/>
          <w:bCs/>
        </w:rPr>
        <w:t>（姓名）</w:t>
      </w:r>
      <w:r>
        <w:t>为我方代理人。代理人根据本授权委托书，以我方名义签署、澄清、说明、补正、递交、撤回、修改</w:t>
      </w:r>
      <w:r>
        <w:rPr>
          <w:u w:val="single"/>
        </w:rPr>
        <w:t xml:space="preserve">     </w:t>
      </w:r>
      <w:r>
        <w:rPr>
          <w:rFonts w:hint="eastAsia"/>
          <w:u w:val="single"/>
        </w:rPr>
        <w:t xml:space="preserve">                  </w:t>
      </w:r>
      <w:r>
        <w:rPr>
          <w:u w:val="single"/>
        </w:rPr>
        <w:t xml:space="preserve">   (项目名称) </w:t>
      </w:r>
      <w:r>
        <w:rPr>
          <w:rFonts w:hint="eastAsia"/>
          <w:u w:val="single"/>
        </w:rPr>
        <w:t xml:space="preserve">           </w:t>
      </w:r>
      <w:r>
        <w:rPr>
          <w:u w:val="single"/>
        </w:rPr>
        <w:t xml:space="preserve">  </w:t>
      </w:r>
      <w:r>
        <w:t>投标文件、处理投诉（异议）、签订合同和处理有关事宜，其法律后果由我方承担。</w:t>
      </w:r>
    </w:p>
    <w:p w14:paraId="44C52DAB">
      <w:pPr>
        <w:autoSpaceDE w:val="0"/>
        <w:autoSpaceDN w:val="0"/>
        <w:ind w:firstLine="480"/>
      </w:pPr>
      <w:r>
        <w:t>委托期限：</w:t>
      </w:r>
      <w:r>
        <w:rPr>
          <w:u w:val="single"/>
        </w:rPr>
        <w:t xml:space="preserve">                         </w:t>
      </w:r>
      <w:r>
        <w:t>。</w:t>
      </w:r>
    </w:p>
    <w:p w14:paraId="4D8CB8F6">
      <w:pPr>
        <w:autoSpaceDE w:val="0"/>
        <w:autoSpaceDN w:val="0"/>
        <w:ind w:firstLine="480"/>
      </w:pPr>
      <w:r>
        <w:t>代理人无转委托权。</w:t>
      </w:r>
    </w:p>
    <w:p w14:paraId="42E3C635">
      <w:pPr>
        <w:autoSpaceDE w:val="0"/>
        <w:autoSpaceDN w:val="0"/>
        <w:ind w:firstLine="480"/>
      </w:pPr>
    </w:p>
    <w:p w14:paraId="0B033007">
      <w:pPr>
        <w:autoSpaceDE w:val="0"/>
        <w:autoSpaceDN w:val="0"/>
        <w:ind w:firstLine="480"/>
      </w:pPr>
      <w:r>
        <w:t>附：委托代理人身份证复印件</w:t>
      </w:r>
    </w:p>
    <w:p w14:paraId="179B6187">
      <w:pPr>
        <w:autoSpaceDE w:val="0"/>
        <w:autoSpaceDN w:val="0"/>
        <w:ind w:firstLine="480"/>
      </w:pPr>
    </w:p>
    <w:p w14:paraId="17EFC8E9">
      <w:pPr>
        <w:autoSpaceDE w:val="0"/>
        <w:autoSpaceDN w:val="0"/>
        <w:ind w:firstLine="480"/>
      </w:pPr>
    </w:p>
    <w:p w14:paraId="55F647F5">
      <w:pPr>
        <w:autoSpaceDE w:val="0"/>
        <w:autoSpaceDN w:val="0"/>
        <w:ind w:firstLine="480"/>
      </w:pPr>
    </w:p>
    <w:p w14:paraId="278B62F1">
      <w:pPr>
        <w:autoSpaceDE w:val="0"/>
        <w:autoSpaceDN w:val="0"/>
        <w:ind w:firstLine="480"/>
      </w:pPr>
    </w:p>
    <w:p w14:paraId="34ED9A3C">
      <w:pPr>
        <w:wordWrap w:val="0"/>
        <w:autoSpaceDE w:val="0"/>
        <w:autoSpaceDN w:val="0"/>
        <w:ind w:firstLine="480"/>
      </w:pPr>
      <w:r>
        <w:t>投  标  人：</w:t>
      </w:r>
      <w:r>
        <w:rPr>
          <w:u w:val="single"/>
        </w:rPr>
        <w:t xml:space="preserve">                        </w:t>
      </w:r>
      <w:r>
        <w:t>（盖单位章）</w:t>
      </w:r>
    </w:p>
    <w:p w14:paraId="73571CB7">
      <w:pPr>
        <w:wordWrap w:val="0"/>
        <w:autoSpaceDE w:val="0"/>
        <w:autoSpaceDN w:val="0"/>
        <w:ind w:firstLine="480"/>
      </w:pPr>
    </w:p>
    <w:p w14:paraId="61A9B3BB">
      <w:pPr>
        <w:wordWrap w:val="0"/>
        <w:autoSpaceDE w:val="0"/>
        <w:autoSpaceDN w:val="0"/>
        <w:ind w:firstLine="480"/>
      </w:pPr>
      <w:r>
        <w:t>法定代表人：</w:t>
      </w:r>
      <w:r>
        <w:rPr>
          <w:u w:val="single"/>
        </w:rPr>
        <w:t xml:space="preserve">                        </w:t>
      </w:r>
      <w:r>
        <w:t>（签字或盖章）</w:t>
      </w:r>
    </w:p>
    <w:p w14:paraId="51F52C9A">
      <w:pPr>
        <w:wordWrap w:val="0"/>
        <w:autoSpaceDE w:val="0"/>
        <w:autoSpaceDN w:val="0"/>
        <w:ind w:firstLine="480"/>
      </w:pPr>
    </w:p>
    <w:p w14:paraId="0F1665A6">
      <w:pPr>
        <w:wordWrap w:val="0"/>
        <w:autoSpaceDE w:val="0"/>
        <w:autoSpaceDN w:val="0"/>
        <w:ind w:firstLine="480"/>
      </w:pPr>
      <w:r>
        <w:t>委托代理人手机号码：</w:t>
      </w:r>
      <w:r>
        <w:rPr>
          <w:u w:val="single"/>
        </w:rPr>
        <w:t xml:space="preserve">                           </w:t>
      </w:r>
    </w:p>
    <w:p w14:paraId="68C1296C">
      <w:pPr>
        <w:wordWrap w:val="0"/>
        <w:autoSpaceDE w:val="0"/>
        <w:autoSpaceDN w:val="0"/>
        <w:ind w:firstLine="480"/>
      </w:pPr>
    </w:p>
    <w:p w14:paraId="3F0A6509">
      <w:pPr>
        <w:wordWrap w:val="0"/>
        <w:autoSpaceDE w:val="0"/>
        <w:autoSpaceDN w:val="0"/>
        <w:ind w:firstLine="480"/>
      </w:pPr>
    </w:p>
    <w:p w14:paraId="733487E5">
      <w:pPr>
        <w:wordWrap w:val="0"/>
        <w:ind w:firstLine="4920" w:firstLineChars="2050"/>
      </w:pPr>
      <w:r>
        <w:rPr>
          <w:u w:val="single"/>
        </w:rPr>
        <w:t xml:space="preserve">        </w:t>
      </w:r>
      <w:r>
        <w:t>年</w:t>
      </w:r>
      <w:r>
        <w:rPr>
          <w:u w:val="single"/>
        </w:rPr>
        <w:t xml:space="preserve">       </w:t>
      </w:r>
      <w:r>
        <w:t>月</w:t>
      </w:r>
      <w:r>
        <w:rPr>
          <w:u w:val="single"/>
        </w:rPr>
        <w:t xml:space="preserve">       </w:t>
      </w:r>
      <w:r>
        <w:t>日</w:t>
      </w:r>
    </w:p>
    <w:p w14:paraId="001BB6CB">
      <w:pPr>
        <w:pStyle w:val="89"/>
        <w:wordWrap w:val="0"/>
        <w:autoSpaceDE w:val="0"/>
        <w:autoSpaceDN w:val="0"/>
        <w:adjustRightInd w:val="0"/>
        <w:spacing w:line="360" w:lineRule="auto"/>
        <w:ind w:firstLine="420" w:firstLineChars="200"/>
        <w:jc w:val="left"/>
      </w:pPr>
      <w:r>
        <w:rPr>
          <w:szCs w:val="22"/>
        </w:rPr>
        <w:br w:type="page"/>
      </w:r>
      <w:bookmarkEnd w:id="383"/>
    </w:p>
    <w:bookmarkEnd w:id="382"/>
    <w:p w14:paraId="0AA3896E">
      <w:pPr>
        <w:pStyle w:val="3"/>
        <w:rPr>
          <w:rFonts w:ascii="Times New Roman" w:hAnsi="Times New Roman"/>
        </w:rPr>
      </w:pPr>
      <w:bookmarkStart w:id="384" w:name="_Toc511387443"/>
      <w:bookmarkStart w:id="385" w:name="_Toc14639"/>
      <w:bookmarkStart w:id="386" w:name="_Toc496096259"/>
      <w:bookmarkStart w:id="387" w:name="_Toc68108447"/>
      <w:bookmarkStart w:id="388" w:name="_Toc9591"/>
      <w:r>
        <w:rPr>
          <w:rFonts w:ascii="Times New Roman" w:hAnsi="Times New Roman"/>
        </w:rPr>
        <w:t>四、</w:t>
      </w:r>
      <w:bookmarkEnd w:id="384"/>
      <w:bookmarkEnd w:id="385"/>
      <w:bookmarkEnd w:id="386"/>
      <w:r>
        <w:rPr>
          <w:rFonts w:ascii="Times New Roman" w:hAnsi="Times New Roman"/>
        </w:rPr>
        <w:t>资格审查资料</w:t>
      </w:r>
      <w:bookmarkEnd w:id="387"/>
      <w:bookmarkEnd w:id="388"/>
    </w:p>
    <w:p w14:paraId="5636976F">
      <w:pPr>
        <w:pStyle w:val="91"/>
        <w:ind w:firstLine="480" w:firstLineChars="200"/>
        <w:jc w:val="left"/>
        <w:rPr>
          <w:b/>
          <w:sz w:val="24"/>
        </w:rPr>
      </w:pPr>
    </w:p>
    <w:p w14:paraId="5DA1135E">
      <w:pPr>
        <w:pStyle w:val="40"/>
        <w:ind w:firstLine="420"/>
      </w:pPr>
    </w:p>
    <w:p w14:paraId="09378E2C">
      <w:pPr>
        <w:pStyle w:val="40"/>
      </w:pPr>
    </w:p>
    <w:p w14:paraId="6274A6DF">
      <w:pPr>
        <w:pStyle w:val="3"/>
        <w:rPr>
          <w:rFonts w:ascii="Times New Roman" w:hAnsi="Times New Roman"/>
        </w:rPr>
        <w:sectPr>
          <w:footerReference r:id="rId11" w:type="default"/>
          <w:pgSz w:w="11906" w:h="16838"/>
          <w:pgMar w:top="1474" w:right="1361" w:bottom="1361" w:left="1418" w:header="851" w:footer="851" w:gutter="0"/>
          <w:cols w:space="720" w:num="1"/>
          <w:docGrid w:type="linesAndChars" w:linePitch="312" w:charSpace="0"/>
        </w:sectPr>
      </w:pPr>
    </w:p>
    <w:p w14:paraId="0AA4C50C">
      <w:pPr>
        <w:pStyle w:val="3"/>
        <w:rPr>
          <w:rFonts w:ascii="Times New Roman" w:hAnsi="Times New Roman"/>
        </w:rPr>
      </w:pPr>
      <w:bookmarkStart w:id="389" w:name="_Toc24279"/>
      <w:r>
        <w:rPr>
          <w:rFonts w:ascii="Times New Roman" w:hAnsi="Times New Roman"/>
        </w:rPr>
        <w:t>五、投标报价表</w:t>
      </w:r>
      <w:bookmarkEnd w:id="389"/>
    </w:p>
    <w:p w14:paraId="771734E9">
      <w:pPr>
        <w:pStyle w:val="40"/>
        <w:rPr>
          <w:b/>
          <w:bCs/>
          <w:sz w:val="32"/>
          <w:szCs w:val="32"/>
        </w:rPr>
      </w:pPr>
      <w:r>
        <w:rPr>
          <w:rFonts w:hint="eastAsia"/>
          <w:b/>
          <w:bCs/>
          <w:sz w:val="32"/>
          <w:szCs w:val="32"/>
        </w:rPr>
        <w:t>宜宾市南溪区中和教育文体发展有限公司</w:t>
      </w:r>
      <w:r>
        <w:rPr>
          <w:b/>
          <w:bCs/>
          <w:sz w:val="32"/>
          <w:szCs w:val="32"/>
        </w:rPr>
        <w:t>数据资产增值服务项目</w:t>
      </w:r>
      <w:r>
        <w:rPr>
          <w:rFonts w:hint="eastAsia"/>
          <w:b/>
          <w:bCs/>
          <w:sz w:val="32"/>
          <w:szCs w:val="32"/>
        </w:rPr>
        <w:t>投标报价表</w:t>
      </w:r>
    </w:p>
    <w:p w14:paraId="64C1B41B">
      <w:pPr>
        <w:pStyle w:val="40"/>
        <w:jc w:val="both"/>
        <w:rPr>
          <w:b/>
          <w:bCs/>
          <w:sz w:val="32"/>
          <w:szCs w:val="32"/>
        </w:rPr>
      </w:pPr>
      <w:r>
        <w:rPr>
          <w:rFonts w:hint="eastAsia"/>
          <w:b/>
          <w:bCs/>
          <w:sz w:val="32"/>
          <w:szCs w:val="32"/>
        </w:rPr>
        <w:t>（一）项目</w:t>
      </w:r>
      <w:r>
        <w:rPr>
          <w:b/>
          <w:bCs/>
          <w:sz w:val="32"/>
          <w:szCs w:val="32"/>
        </w:rPr>
        <w:t>报价</w:t>
      </w:r>
    </w:p>
    <w:p w14:paraId="6515AF5E">
      <w:pPr>
        <w:pStyle w:val="40"/>
      </w:pPr>
    </w:p>
    <w:p w14:paraId="5C62A5FD">
      <w:pPr>
        <w:pStyle w:val="40"/>
      </w:pPr>
    </w:p>
    <w:p w14:paraId="7FC4B459">
      <w:pPr>
        <w:pStyle w:val="40"/>
        <w:jc w:val="both"/>
        <w:rPr>
          <w:b/>
          <w:bCs/>
          <w:sz w:val="32"/>
          <w:szCs w:val="32"/>
        </w:rPr>
      </w:pPr>
      <w:r>
        <w:rPr>
          <w:rFonts w:hint="eastAsia"/>
          <w:b/>
          <w:bCs/>
          <w:sz w:val="32"/>
          <w:szCs w:val="32"/>
        </w:rPr>
        <w:t>（二）</w:t>
      </w:r>
      <w:r>
        <w:rPr>
          <w:b/>
          <w:bCs/>
          <w:sz w:val="32"/>
          <w:szCs w:val="32"/>
        </w:rPr>
        <w:t>分项报价明细表及报价补充说明</w:t>
      </w:r>
    </w:p>
    <w:p w14:paraId="777386A4">
      <w:pPr>
        <w:pStyle w:val="40"/>
        <w:jc w:val="left"/>
        <w:rPr>
          <w:sz w:val="24"/>
        </w:rPr>
      </w:pPr>
      <w:r>
        <w:rPr>
          <w:sz w:val="24"/>
        </w:rPr>
        <w:t xml:space="preserve">    格式自拟。</w:t>
      </w:r>
      <w:r>
        <w:rPr>
          <w:rFonts w:hint="eastAsia"/>
          <w:sz w:val="24"/>
        </w:rPr>
        <w:t>明细表中需详细列出费用组成。</w:t>
      </w:r>
    </w:p>
    <w:p w14:paraId="3F2283A6">
      <w:pPr>
        <w:pStyle w:val="40"/>
        <w:jc w:val="left"/>
        <w:rPr>
          <w:sz w:val="24"/>
        </w:rPr>
      </w:pPr>
    </w:p>
    <w:p w14:paraId="29D1915F">
      <w:pPr>
        <w:ind w:firstLine="480"/>
      </w:pPr>
      <w:r>
        <w:t>注：</w:t>
      </w:r>
      <w:r>
        <w:rPr>
          <w:rFonts w:hint="eastAsia"/>
        </w:rPr>
        <w:t>投标报价包括宜宾市南溪区中和教育文体发展有限公司数据资产的顶层设计和实施服务，主要包括数据资产增值顶层设计、数据价值盘点、数据全流程跑通试点、数据产品开发、数据产品流通服务确权和评估登记等工作。招标文件所确定的招标范围内的全部服务工作内容所发生的服务费、税费、和由此项目而产生的杂费、不可预见费等一切费用</w:t>
      </w:r>
      <w:r>
        <w:t>，凡漏项或少计均视为优惠，中标后结算时招标人无任何费用补偿。</w:t>
      </w:r>
    </w:p>
    <w:p w14:paraId="144D20DF">
      <w:pPr>
        <w:pStyle w:val="40"/>
        <w:jc w:val="left"/>
        <w:rPr>
          <w:sz w:val="24"/>
        </w:rPr>
      </w:pPr>
    </w:p>
    <w:p w14:paraId="31676CC3">
      <w:pPr>
        <w:pStyle w:val="40"/>
        <w:jc w:val="left"/>
        <w:rPr>
          <w:sz w:val="24"/>
        </w:rPr>
      </w:pPr>
    </w:p>
    <w:p w14:paraId="52C7A68B">
      <w:pPr>
        <w:ind w:firstLine="1440" w:firstLineChars="600"/>
      </w:pPr>
      <w:r>
        <w:t>投标人(公章)：</w:t>
      </w:r>
      <w:r>
        <w:rPr>
          <w:u w:val="single"/>
        </w:rPr>
        <w:t xml:space="preserve">                         </w:t>
      </w:r>
      <w:r>
        <w:t xml:space="preserve"> </w:t>
      </w:r>
    </w:p>
    <w:p w14:paraId="0FE682E0">
      <w:pPr>
        <w:ind w:firstLine="480"/>
      </w:pPr>
      <w:r>
        <w:rPr>
          <w:rFonts w:hint="eastAsia"/>
        </w:rPr>
        <w:t xml:space="preserve"> </w:t>
      </w:r>
    </w:p>
    <w:p w14:paraId="488E47F6">
      <w:pPr>
        <w:ind w:firstLine="1440" w:firstLineChars="600"/>
        <w:rPr>
          <w:u w:val="single"/>
        </w:rPr>
      </w:pPr>
      <w:r>
        <w:t>法定代表人或委托代理人（签字或印章）：</w:t>
      </w:r>
      <w:r>
        <w:rPr>
          <w:u w:val="single"/>
        </w:rPr>
        <w:t xml:space="preserve">               </w:t>
      </w:r>
    </w:p>
    <w:p w14:paraId="4F100F5D">
      <w:pPr>
        <w:ind w:firstLine="480"/>
      </w:pPr>
    </w:p>
    <w:p w14:paraId="286DAB3C">
      <w:pPr>
        <w:ind w:firstLine="1440" w:firstLineChars="600"/>
      </w:pPr>
      <w:r>
        <w:t xml:space="preserve">日 期： </w:t>
      </w:r>
      <w:r>
        <w:rPr>
          <w:u w:val="single"/>
        </w:rPr>
        <w:t xml:space="preserve">          </w:t>
      </w:r>
      <w:r>
        <w:t>年</w:t>
      </w:r>
      <w:r>
        <w:rPr>
          <w:u w:val="single"/>
        </w:rPr>
        <w:t xml:space="preserve">        </w:t>
      </w:r>
      <w:r>
        <w:t>月</w:t>
      </w:r>
      <w:r>
        <w:rPr>
          <w:u w:val="single"/>
        </w:rPr>
        <w:t xml:space="preserve">        </w:t>
      </w:r>
      <w:r>
        <w:t>日</w:t>
      </w:r>
    </w:p>
    <w:p w14:paraId="7D467BD6">
      <w:pPr>
        <w:pStyle w:val="40"/>
        <w:jc w:val="left"/>
        <w:rPr>
          <w:sz w:val="24"/>
        </w:rPr>
        <w:sectPr>
          <w:pgSz w:w="16838" w:h="11906" w:orient="landscape"/>
          <w:pgMar w:top="1418" w:right="1474" w:bottom="1361" w:left="1361" w:header="851" w:footer="851" w:gutter="0"/>
          <w:cols w:space="720" w:num="1"/>
          <w:docGrid w:type="lines" w:linePitch="312" w:charSpace="0"/>
        </w:sectPr>
      </w:pPr>
    </w:p>
    <w:p w14:paraId="5A93B93D">
      <w:pPr>
        <w:pStyle w:val="3"/>
        <w:rPr>
          <w:rFonts w:ascii="Times New Roman" w:hAnsi="Times New Roman"/>
        </w:rPr>
      </w:pPr>
      <w:bookmarkStart w:id="390" w:name="_Toc496096264"/>
      <w:bookmarkStart w:id="391" w:name="_Toc68108450"/>
      <w:bookmarkStart w:id="392" w:name="_Toc7399"/>
      <w:bookmarkStart w:id="393" w:name="_Toc511387447"/>
      <w:bookmarkStart w:id="394" w:name="_Toc24569"/>
      <w:bookmarkStart w:id="395" w:name="_Toc445796139"/>
      <w:r>
        <w:rPr>
          <w:rFonts w:hint="eastAsia" w:ascii="Times New Roman" w:hAnsi="Times New Roman"/>
        </w:rPr>
        <w:t>六</w:t>
      </w:r>
      <w:r>
        <w:rPr>
          <w:rFonts w:ascii="Times New Roman" w:hAnsi="Times New Roman"/>
        </w:rPr>
        <w:t>、</w:t>
      </w:r>
      <w:bookmarkEnd w:id="390"/>
      <w:bookmarkEnd w:id="391"/>
      <w:bookmarkEnd w:id="392"/>
      <w:bookmarkEnd w:id="393"/>
      <w:r>
        <w:rPr>
          <w:rFonts w:hint="eastAsia" w:ascii="Times New Roman" w:hAnsi="Times New Roman"/>
        </w:rPr>
        <w:t>其它资料</w:t>
      </w:r>
      <w:bookmarkEnd w:id="394"/>
    </w:p>
    <w:bookmarkEnd w:id="2"/>
    <w:bookmarkEnd w:id="395"/>
    <w:p w14:paraId="058727FB">
      <w:pPr>
        <w:ind w:firstLine="480"/>
      </w:pPr>
    </w:p>
    <w:p w14:paraId="75B488B2">
      <w:pPr>
        <w:ind w:firstLine="480"/>
      </w:pPr>
      <w:r>
        <w:rPr>
          <w:rFonts w:hint="eastAsia"/>
        </w:rPr>
        <w:t>招标文件规定须提供的以及投标人认为必要的其他文件。</w:t>
      </w:r>
    </w:p>
    <w:p w14:paraId="50FDB917">
      <w:pPr>
        <w:ind w:firstLine="480"/>
      </w:pPr>
    </w:p>
    <w:p w14:paraId="092522EA">
      <w:pPr>
        <w:ind w:firstLine="480"/>
      </w:pPr>
    </w:p>
    <w:p w14:paraId="23FBE015">
      <w:pPr>
        <w:ind w:firstLine="480"/>
      </w:pPr>
    </w:p>
    <w:p w14:paraId="0DCFFBB5">
      <w:pPr>
        <w:ind w:firstLine="480"/>
      </w:pPr>
    </w:p>
    <w:p w14:paraId="55E77279">
      <w:pPr>
        <w:ind w:firstLine="480"/>
      </w:pPr>
    </w:p>
    <w:p w14:paraId="7FC28659">
      <w:pPr>
        <w:ind w:firstLine="480"/>
      </w:pPr>
    </w:p>
    <w:p w14:paraId="0958E0D0">
      <w:pPr>
        <w:ind w:firstLine="480"/>
      </w:pPr>
    </w:p>
    <w:p w14:paraId="673F9AAC">
      <w:pPr>
        <w:ind w:firstLine="480"/>
      </w:pPr>
    </w:p>
    <w:p w14:paraId="7690DEAE">
      <w:pPr>
        <w:ind w:firstLine="480"/>
      </w:pPr>
    </w:p>
    <w:p w14:paraId="32039F18">
      <w:pPr>
        <w:ind w:firstLine="480"/>
      </w:pPr>
    </w:p>
    <w:p w14:paraId="126E54CE">
      <w:pPr>
        <w:ind w:firstLine="480"/>
      </w:pPr>
    </w:p>
    <w:p w14:paraId="4BA5EB14">
      <w:pPr>
        <w:ind w:firstLine="480"/>
      </w:pPr>
    </w:p>
    <w:p w14:paraId="2A631A48">
      <w:pPr>
        <w:ind w:firstLine="480"/>
      </w:pPr>
    </w:p>
    <w:p w14:paraId="2C30E0C7">
      <w:pPr>
        <w:ind w:firstLine="480"/>
      </w:pPr>
    </w:p>
    <w:p w14:paraId="056EC23D">
      <w:pPr>
        <w:ind w:firstLine="480"/>
      </w:pPr>
    </w:p>
    <w:p w14:paraId="762B7169">
      <w:pPr>
        <w:ind w:right="-422" w:rightChars="-176" w:firstLine="480"/>
        <w:jc w:val="center"/>
      </w:pPr>
    </w:p>
    <w:sectPr>
      <w:pgSz w:w="11906" w:h="16838"/>
      <w:pgMar w:top="1474" w:right="1361" w:bottom="1361" w:left="1418" w:header="851" w:footer="85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ABCEDA4B-5B37-4CFD-8DB5-06531CCAE183}"/>
  </w:font>
  <w:font w:name="黑体">
    <w:panose1 w:val="02010609060101010101"/>
    <w:charset w:val="86"/>
    <w:family w:val="auto"/>
    <w:pitch w:val="default"/>
    <w:sig w:usb0="800002BF" w:usb1="38CF7CFA" w:usb2="00000016" w:usb3="00000000" w:csb0="00040001" w:csb1="00000000"/>
    <w:embedRegular r:id="rId2" w:fontKey="{E577296A-AA28-4EDD-8AE6-5ECFFF76286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4DF2E686-7874-4DA3-B4A6-E1C6EF672E40}"/>
  </w:font>
  <w:font w:name="楷体">
    <w:panose1 w:val="02010609060101010101"/>
    <w:charset w:val="86"/>
    <w:family w:val="modern"/>
    <w:pitch w:val="default"/>
    <w:sig w:usb0="800002BF" w:usb1="38CF7CFA" w:usb2="00000016" w:usb3="00000000" w:csb0="00040001" w:csb1="00000000"/>
  </w:font>
  <w:font w:name="TimesNewRomanPSMT">
    <w:altName w:val="Times New Roman"/>
    <w:panose1 w:val="020B0604020202020204"/>
    <w:charset w:val="00"/>
    <w:family w:val="roman"/>
    <w:pitch w:val="default"/>
    <w:sig w:usb0="00000000" w:usb1="00000000" w:usb2="00000010" w:usb3="00000000" w:csb0="00040001" w:csb1="00000000"/>
    <w:embedRegular r:id="rId4" w:fontKey="{F503ADC9-6947-48E6-8F8F-565D6E956145}"/>
  </w:font>
  <w:font w:name="微软雅黑">
    <w:panose1 w:val="020B0503020204020204"/>
    <w:charset w:val="86"/>
    <w:family w:val="swiss"/>
    <w:pitch w:val="default"/>
    <w:sig w:usb0="80000287" w:usb1="2ACF3C50" w:usb2="00000016" w:usb3="00000000" w:csb0="0004001F" w:csb1="00000000"/>
    <w:embedRegular r:id="rId5" w:fontKey="{3A3C3EF2-4AB5-44F2-A5C0-70A82680B13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DC2E9">
    <w:pPr>
      <w:pStyle w:val="2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E17E6">
    <w:pPr>
      <w:pStyle w:val="2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EEAF4">
    <w:pPr>
      <w:pStyle w:val="2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8756922"/>
    </w:sdtPr>
    <w:sdtContent>
      <w:p w14:paraId="749D3E43">
        <w:pPr>
          <w:pStyle w:val="22"/>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CCBD">
    <w:pPr>
      <w:pStyle w:val="22"/>
      <w:ind w:firstLine="360"/>
      <w:jc w:val="center"/>
    </w:pPr>
    <w:r>
      <w:fldChar w:fldCharType="begin"/>
    </w:r>
    <w:r>
      <w:instrText xml:space="preserve">PAGE   \* MERGEFORMAT</w:instrText>
    </w:r>
    <w:r>
      <w:fldChar w:fldCharType="separate"/>
    </w:r>
    <w:r>
      <w:rPr>
        <w:lang w:val="zh-CN"/>
      </w:rPr>
      <w:t>37</w:t>
    </w:r>
    <w:r>
      <w:rPr>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831FF">
    <w:pPr>
      <w:pStyle w:val="23"/>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9742C">
    <w:pPr>
      <w:pStyle w:val="2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F847">
    <w:pPr>
      <w:pStyle w:val="23"/>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D38E6">
    <w:pPr>
      <w:pStyle w:val="23"/>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F43BDB"/>
    <w:multiLevelType w:val="singleLevel"/>
    <w:tmpl w:val="82F43BDB"/>
    <w:lvl w:ilvl="0" w:tentative="0">
      <w:start w:val="2"/>
      <w:numFmt w:val="decimal"/>
      <w:suff w:val="nothing"/>
      <w:lvlText w:val="%1、"/>
      <w:lvlJc w:val="left"/>
    </w:lvl>
  </w:abstractNum>
  <w:abstractNum w:abstractNumId="1">
    <w:nsid w:val="A15BEA5F"/>
    <w:multiLevelType w:val="singleLevel"/>
    <w:tmpl w:val="A15BEA5F"/>
    <w:lvl w:ilvl="0" w:tentative="0">
      <w:start w:val="1"/>
      <w:numFmt w:val="decimal"/>
      <w:suff w:val="nothing"/>
      <w:lvlText w:val="（%1）"/>
      <w:lvlJc w:val="left"/>
    </w:lvl>
  </w:abstractNum>
  <w:abstractNum w:abstractNumId="2">
    <w:nsid w:val="572CE5C2"/>
    <w:multiLevelType w:val="singleLevel"/>
    <w:tmpl w:val="572CE5C2"/>
    <w:lvl w:ilvl="0" w:tentative="0">
      <w:start w:val="3"/>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1"/>
  <w:bordersDoNotSurroundFooter w:val="1"/>
  <w:documentProtection w:enforcement="0"/>
  <w:defaultTabStop w:val="420"/>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yNDBmYTZiYWZiYzM0NmZiNWY4YjE4NmZhMTE3ODkifQ=="/>
  </w:docVars>
  <w:rsids>
    <w:rsidRoot w:val="051E4E41"/>
    <w:rsid w:val="00001100"/>
    <w:rsid w:val="00002F68"/>
    <w:rsid w:val="00003067"/>
    <w:rsid w:val="00003728"/>
    <w:rsid w:val="0000507D"/>
    <w:rsid w:val="00007AB0"/>
    <w:rsid w:val="000137D0"/>
    <w:rsid w:val="00013CD0"/>
    <w:rsid w:val="00014A51"/>
    <w:rsid w:val="000168EF"/>
    <w:rsid w:val="000179FA"/>
    <w:rsid w:val="0002272F"/>
    <w:rsid w:val="00023AE8"/>
    <w:rsid w:val="00024289"/>
    <w:rsid w:val="00024362"/>
    <w:rsid w:val="00024574"/>
    <w:rsid w:val="00025626"/>
    <w:rsid w:val="00026B1B"/>
    <w:rsid w:val="0003332A"/>
    <w:rsid w:val="00033C4D"/>
    <w:rsid w:val="0003442F"/>
    <w:rsid w:val="0003480C"/>
    <w:rsid w:val="0003794F"/>
    <w:rsid w:val="00037967"/>
    <w:rsid w:val="00041A04"/>
    <w:rsid w:val="00043A53"/>
    <w:rsid w:val="00045E72"/>
    <w:rsid w:val="000469A4"/>
    <w:rsid w:val="000510E0"/>
    <w:rsid w:val="00051E73"/>
    <w:rsid w:val="00053022"/>
    <w:rsid w:val="00054A78"/>
    <w:rsid w:val="00054FC9"/>
    <w:rsid w:val="000555CE"/>
    <w:rsid w:val="00055A4A"/>
    <w:rsid w:val="00055FF3"/>
    <w:rsid w:val="0005680A"/>
    <w:rsid w:val="0005715B"/>
    <w:rsid w:val="00060C79"/>
    <w:rsid w:val="00063B3B"/>
    <w:rsid w:val="00064540"/>
    <w:rsid w:val="00064F8D"/>
    <w:rsid w:val="00067C8A"/>
    <w:rsid w:val="00070C9D"/>
    <w:rsid w:val="000730F7"/>
    <w:rsid w:val="00076565"/>
    <w:rsid w:val="00076F2C"/>
    <w:rsid w:val="000805DD"/>
    <w:rsid w:val="00080912"/>
    <w:rsid w:val="00080B32"/>
    <w:rsid w:val="0008108E"/>
    <w:rsid w:val="00081446"/>
    <w:rsid w:val="00082338"/>
    <w:rsid w:val="00082570"/>
    <w:rsid w:val="00082996"/>
    <w:rsid w:val="00083508"/>
    <w:rsid w:val="000840FB"/>
    <w:rsid w:val="00084FA3"/>
    <w:rsid w:val="0008549A"/>
    <w:rsid w:val="00090473"/>
    <w:rsid w:val="00091A44"/>
    <w:rsid w:val="00092967"/>
    <w:rsid w:val="00092DD6"/>
    <w:rsid w:val="0009318F"/>
    <w:rsid w:val="000933E8"/>
    <w:rsid w:val="00093C67"/>
    <w:rsid w:val="000940AB"/>
    <w:rsid w:val="00094911"/>
    <w:rsid w:val="000958B6"/>
    <w:rsid w:val="00095927"/>
    <w:rsid w:val="000962DF"/>
    <w:rsid w:val="00096565"/>
    <w:rsid w:val="00096B67"/>
    <w:rsid w:val="00096DA1"/>
    <w:rsid w:val="00097363"/>
    <w:rsid w:val="000A21EB"/>
    <w:rsid w:val="000A31D4"/>
    <w:rsid w:val="000A32E8"/>
    <w:rsid w:val="000A6FF4"/>
    <w:rsid w:val="000A73C9"/>
    <w:rsid w:val="000B15EF"/>
    <w:rsid w:val="000B2045"/>
    <w:rsid w:val="000B2069"/>
    <w:rsid w:val="000B3C83"/>
    <w:rsid w:val="000B4E26"/>
    <w:rsid w:val="000B4FD9"/>
    <w:rsid w:val="000B50A0"/>
    <w:rsid w:val="000B6BF0"/>
    <w:rsid w:val="000C0337"/>
    <w:rsid w:val="000C05FE"/>
    <w:rsid w:val="000C156E"/>
    <w:rsid w:val="000C2A66"/>
    <w:rsid w:val="000C340D"/>
    <w:rsid w:val="000C633B"/>
    <w:rsid w:val="000C6C35"/>
    <w:rsid w:val="000D101B"/>
    <w:rsid w:val="000D1CDD"/>
    <w:rsid w:val="000D1DFC"/>
    <w:rsid w:val="000D4179"/>
    <w:rsid w:val="000D451E"/>
    <w:rsid w:val="000D4F39"/>
    <w:rsid w:val="000D4F3B"/>
    <w:rsid w:val="000D51D6"/>
    <w:rsid w:val="000D725C"/>
    <w:rsid w:val="000E01DD"/>
    <w:rsid w:val="000E1489"/>
    <w:rsid w:val="000E14EA"/>
    <w:rsid w:val="000E551D"/>
    <w:rsid w:val="000E72DE"/>
    <w:rsid w:val="000F0A66"/>
    <w:rsid w:val="000F0D92"/>
    <w:rsid w:val="000F2D8A"/>
    <w:rsid w:val="000F31C5"/>
    <w:rsid w:val="000F7AFF"/>
    <w:rsid w:val="001028A9"/>
    <w:rsid w:val="001028FD"/>
    <w:rsid w:val="00104B45"/>
    <w:rsid w:val="00110A2B"/>
    <w:rsid w:val="00110F05"/>
    <w:rsid w:val="00110F82"/>
    <w:rsid w:val="00116452"/>
    <w:rsid w:val="0012055B"/>
    <w:rsid w:val="00122D1F"/>
    <w:rsid w:val="0012441E"/>
    <w:rsid w:val="00125B86"/>
    <w:rsid w:val="001268E1"/>
    <w:rsid w:val="00130566"/>
    <w:rsid w:val="00130CBD"/>
    <w:rsid w:val="00130EDD"/>
    <w:rsid w:val="001335EC"/>
    <w:rsid w:val="00133DC2"/>
    <w:rsid w:val="00134A47"/>
    <w:rsid w:val="00135221"/>
    <w:rsid w:val="001364CD"/>
    <w:rsid w:val="00136F0D"/>
    <w:rsid w:val="0014366B"/>
    <w:rsid w:val="00144A51"/>
    <w:rsid w:val="0014538D"/>
    <w:rsid w:val="0014658C"/>
    <w:rsid w:val="0015016D"/>
    <w:rsid w:val="001503C9"/>
    <w:rsid w:val="001532B3"/>
    <w:rsid w:val="001554CD"/>
    <w:rsid w:val="001568EA"/>
    <w:rsid w:val="00161972"/>
    <w:rsid w:val="00161F4A"/>
    <w:rsid w:val="00162A5A"/>
    <w:rsid w:val="00164239"/>
    <w:rsid w:val="00165462"/>
    <w:rsid w:val="00165752"/>
    <w:rsid w:val="0016621A"/>
    <w:rsid w:val="00166F36"/>
    <w:rsid w:val="001713DD"/>
    <w:rsid w:val="0017210B"/>
    <w:rsid w:val="001726A4"/>
    <w:rsid w:val="00172D65"/>
    <w:rsid w:val="00172E39"/>
    <w:rsid w:val="0017325D"/>
    <w:rsid w:val="001736F3"/>
    <w:rsid w:val="00174FA7"/>
    <w:rsid w:val="001758E7"/>
    <w:rsid w:val="001767C1"/>
    <w:rsid w:val="001809CE"/>
    <w:rsid w:val="0018159C"/>
    <w:rsid w:val="00181DBE"/>
    <w:rsid w:val="00182717"/>
    <w:rsid w:val="0018599E"/>
    <w:rsid w:val="0019221E"/>
    <w:rsid w:val="00193E0B"/>
    <w:rsid w:val="0019574A"/>
    <w:rsid w:val="001973E0"/>
    <w:rsid w:val="001A0C6B"/>
    <w:rsid w:val="001A123A"/>
    <w:rsid w:val="001A2B04"/>
    <w:rsid w:val="001A32EE"/>
    <w:rsid w:val="001A3F8B"/>
    <w:rsid w:val="001A53CF"/>
    <w:rsid w:val="001A6A08"/>
    <w:rsid w:val="001A7BE9"/>
    <w:rsid w:val="001B0365"/>
    <w:rsid w:val="001B07C3"/>
    <w:rsid w:val="001B1652"/>
    <w:rsid w:val="001B1C36"/>
    <w:rsid w:val="001B29FC"/>
    <w:rsid w:val="001B2A76"/>
    <w:rsid w:val="001B2D09"/>
    <w:rsid w:val="001B3411"/>
    <w:rsid w:val="001B3444"/>
    <w:rsid w:val="001B3637"/>
    <w:rsid w:val="001B6F89"/>
    <w:rsid w:val="001C1DC5"/>
    <w:rsid w:val="001C3222"/>
    <w:rsid w:val="001C375C"/>
    <w:rsid w:val="001C64A1"/>
    <w:rsid w:val="001D211D"/>
    <w:rsid w:val="001D2655"/>
    <w:rsid w:val="001D2AAF"/>
    <w:rsid w:val="001D336C"/>
    <w:rsid w:val="001D6C31"/>
    <w:rsid w:val="001D7E78"/>
    <w:rsid w:val="001E050E"/>
    <w:rsid w:val="001E44FF"/>
    <w:rsid w:val="001E7350"/>
    <w:rsid w:val="001F18FE"/>
    <w:rsid w:val="001F2547"/>
    <w:rsid w:val="001F2EEC"/>
    <w:rsid w:val="001F4C9E"/>
    <w:rsid w:val="001F6B7D"/>
    <w:rsid w:val="001F7AF4"/>
    <w:rsid w:val="001F7D8E"/>
    <w:rsid w:val="00200395"/>
    <w:rsid w:val="00200F94"/>
    <w:rsid w:val="002012CF"/>
    <w:rsid w:val="00202029"/>
    <w:rsid w:val="0020340C"/>
    <w:rsid w:val="00203F5D"/>
    <w:rsid w:val="0020557F"/>
    <w:rsid w:val="002055FF"/>
    <w:rsid w:val="00206250"/>
    <w:rsid w:val="0020724C"/>
    <w:rsid w:val="002077A9"/>
    <w:rsid w:val="0021122D"/>
    <w:rsid w:val="00211FFD"/>
    <w:rsid w:val="0021239C"/>
    <w:rsid w:val="002137F6"/>
    <w:rsid w:val="00213BDF"/>
    <w:rsid w:val="002145E7"/>
    <w:rsid w:val="002166BD"/>
    <w:rsid w:val="0022073B"/>
    <w:rsid w:val="00220812"/>
    <w:rsid w:val="00223BEC"/>
    <w:rsid w:val="002242FA"/>
    <w:rsid w:val="00224F1D"/>
    <w:rsid w:val="0022503E"/>
    <w:rsid w:val="0022718D"/>
    <w:rsid w:val="0022751D"/>
    <w:rsid w:val="0022791F"/>
    <w:rsid w:val="00227EFD"/>
    <w:rsid w:val="002315DA"/>
    <w:rsid w:val="00232251"/>
    <w:rsid w:val="00232320"/>
    <w:rsid w:val="00232968"/>
    <w:rsid w:val="0023719D"/>
    <w:rsid w:val="002406FC"/>
    <w:rsid w:val="00240967"/>
    <w:rsid w:val="00241EA7"/>
    <w:rsid w:val="00243B82"/>
    <w:rsid w:val="002455D4"/>
    <w:rsid w:val="00245B06"/>
    <w:rsid w:val="0024696C"/>
    <w:rsid w:val="00246F9D"/>
    <w:rsid w:val="00246FEF"/>
    <w:rsid w:val="00247F6A"/>
    <w:rsid w:val="0025128F"/>
    <w:rsid w:val="00253EA0"/>
    <w:rsid w:val="002545CE"/>
    <w:rsid w:val="00255D44"/>
    <w:rsid w:val="002612E5"/>
    <w:rsid w:val="002623C0"/>
    <w:rsid w:val="00263AAB"/>
    <w:rsid w:val="0026546E"/>
    <w:rsid w:val="00265620"/>
    <w:rsid w:val="00265F79"/>
    <w:rsid w:val="00270384"/>
    <w:rsid w:val="00271610"/>
    <w:rsid w:val="00271B6B"/>
    <w:rsid w:val="00271E2A"/>
    <w:rsid w:val="002725B8"/>
    <w:rsid w:val="00274768"/>
    <w:rsid w:val="00274AA0"/>
    <w:rsid w:val="0027533C"/>
    <w:rsid w:val="002753DE"/>
    <w:rsid w:val="00276087"/>
    <w:rsid w:val="002766B8"/>
    <w:rsid w:val="00277148"/>
    <w:rsid w:val="00280D2F"/>
    <w:rsid w:val="00281603"/>
    <w:rsid w:val="00283227"/>
    <w:rsid w:val="00285D89"/>
    <w:rsid w:val="00285E4C"/>
    <w:rsid w:val="00286E70"/>
    <w:rsid w:val="00287DA1"/>
    <w:rsid w:val="00290C7F"/>
    <w:rsid w:val="00291106"/>
    <w:rsid w:val="00294B71"/>
    <w:rsid w:val="00295001"/>
    <w:rsid w:val="002956D1"/>
    <w:rsid w:val="00296476"/>
    <w:rsid w:val="00296A1E"/>
    <w:rsid w:val="00296C4C"/>
    <w:rsid w:val="00296CE1"/>
    <w:rsid w:val="002A06A8"/>
    <w:rsid w:val="002A28BD"/>
    <w:rsid w:val="002A5038"/>
    <w:rsid w:val="002A7771"/>
    <w:rsid w:val="002B1F4B"/>
    <w:rsid w:val="002B395E"/>
    <w:rsid w:val="002B4C8D"/>
    <w:rsid w:val="002B4CE7"/>
    <w:rsid w:val="002B5C7E"/>
    <w:rsid w:val="002B6C2F"/>
    <w:rsid w:val="002B7684"/>
    <w:rsid w:val="002C053F"/>
    <w:rsid w:val="002C0F62"/>
    <w:rsid w:val="002C1BC3"/>
    <w:rsid w:val="002C1C41"/>
    <w:rsid w:val="002C41C4"/>
    <w:rsid w:val="002C65BE"/>
    <w:rsid w:val="002D114D"/>
    <w:rsid w:val="002D1748"/>
    <w:rsid w:val="002D2387"/>
    <w:rsid w:val="002D2752"/>
    <w:rsid w:val="002D3BB8"/>
    <w:rsid w:val="002D5A1A"/>
    <w:rsid w:val="002D6054"/>
    <w:rsid w:val="002D666D"/>
    <w:rsid w:val="002D7B5C"/>
    <w:rsid w:val="002D7D1B"/>
    <w:rsid w:val="002E045B"/>
    <w:rsid w:val="002E0674"/>
    <w:rsid w:val="002E204A"/>
    <w:rsid w:val="002E3603"/>
    <w:rsid w:val="002E3957"/>
    <w:rsid w:val="002E4191"/>
    <w:rsid w:val="002E6218"/>
    <w:rsid w:val="002E651B"/>
    <w:rsid w:val="002E670B"/>
    <w:rsid w:val="002F1D31"/>
    <w:rsid w:val="002F22FB"/>
    <w:rsid w:val="002F33E9"/>
    <w:rsid w:val="002F3FB9"/>
    <w:rsid w:val="002F449E"/>
    <w:rsid w:val="002F6B25"/>
    <w:rsid w:val="003009F0"/>
    <w:rsid w:val="00301892"/>
    <w:rsid w:val="003025C9"/>
    <w:rsid w:val="00303151"/>
    <w:rsid w:val="00306FAB"/>
    <w:rsid w:val="003076CA"/>
    <w:rsid w:val="00307B6B"/>
    <w:rsid w:val="00311810"/>
    <w:rsid w:val="003122B8"/>
    <w:rsid w:val="003133CE"/>
    <w:rsid w:val="00316026"/>
    <w:rsid w:val="00316719"/>
    <w:rsid w:val="00320578"/>
    <w:rsid w:val="00321C5F"/>
    <w:rsid w:val="003221A3"/>
    <w:rsid w:val="0032276F"/>
    <w:rsid w:val="00322FC4"/>
    <w:rsid w:val="00323F1D"/>
    <w:rsid w:val="003242AB"/>
    <w:rsid w:val="00324DA3"/>
    <w:rsid w:val="00324EFE"/>
    <w:rsid w:val="00324FF7"/>
    <w:rsid w:val="00326692"/>
    <w:rsid w:val="0032669C"/>
    <w:rsid w:val="0032688E"/>
    <w:rsid w:val="00327E90"/>
    <w:rsid w:val="00334ABE"/>
    <w:rsid w:val="0033669A"/>
    <w:rsid w:val="00341796"/>
    <w:rsid w:val="00341F6E"/>
    <w:rsid w:val="00342C4A"/>
    <w:rsid w:val="003433F8"/>
    <w:rsid w:val="003448F8"/>
    <w:rsid w:val="00345122"/>
    <w:rsid w:val="003457FD"/>
    <w:rsid w:val="00345C79"/>
    <w:rsid w:val="00347406"/>
    <w:rsid w:val="00350787"/>
    <w:rsid w:val="00351BA9"/>
    <w:rsid w:val="0035208D"/>
    <w:rsid w:val="00352254"/>
    <w:rsid w:val="00352817"/>
    <w:rsid w:val="00353B0C"/>
    <w:rsid w:val="00353FD1"/>
    <w:rsid w:val="00354A58"/>
    <w:rsid w:val="00356805"/>
    <w:rsid w:val="00357322"/>
    <w:rsid w:val="003577A1"/>
    <w:rsid w:val="00357FD8"/>
    <w:rsid w:val="00360DC0"/>
    <w:rsid w:val="00361E60"/>
    <w:rsid w:val="0036480E"/>
    <w:rsid w:val="003659BD"/>
    <w:rsid w:val="00365D24"/>
    <w:rsid w:val="00367619"/>
    <w:rsid w:val="00370892"/>
    <w:rsid w:val="00370AE9"/>
    <w:rsid w:val="00370BDB"/>
    <w:rsid w:val="00371BFE"/>
    <w:rsid w:val="003724A0"/>
    <w:rsid w:val="00372683"/>
    <w:rsid w:val="003731E9"/>
    <w:rsid w:val="00373B25"/>
    <w:rsid w:val="003742A1"/>
    <w:rsid w:val="00377678"/>
    <w:rsid w:val="00380A08"/>
    <w:rsid w:val="00384C03"/>
    <w:rsid w:val="0038697D"/>
    <w:rsid w:val="00390D17"/>
    <w:rsid w:val="00391DEA"/>
    <w:rsid w:val="00391EE5"/>
    <w:rsid w:val="00392E40"/>
    <w:rsid w:val="003943BB"/>
    <w:rsid w:val="00397507"/>
    <w:rsid w:val="003A25D5"/>
    <w:rsid w:val="003A573F"/>
    <w:rsid w:val="003A58F6"/>
    <w:rsid w:val="003A6C86"/>
    <w:rsid w:val="003A6FA8"/>
    <w:rsid w:val="003B0FE8"/>
    <w:rsid w:val="003B363E"/>
    <w:rsid w:val="003B5935"/>
    <w:rsid w:val="003B7423"/>
    <w:rsid w:val="003C4F6F"/>
    <w:rsid w:val="003C6ED0"/>
    <w:rsid w:val="003D05E2"/>
    <w:rsid w:val="003D0CE9"/>
    <w:rsid w:val="003D139A"/>
    <w:rsid w:val="003D1C9B"/>
    <w:rsid w:val="003D25B8"/>
    <w:rsid w:val="003D35B4"/>
    <w:rsid w:val="003D4498"/>
    <w:rsid w:val="003D4723"/>
    <w:rsid w:val="003D60AD"/>
    <w:rsid w:val="003D7757"/>
    <w:rsid w:val="003E0097"/>
    <w:rsid w:val="003E1EF0"/>
    <w:rsid w:val="003E2D47"/>
    <w:rsid w:val="003E44A1"/>
    <w:rsid w:val="003E4574"/>
    <w:rsid w:val="003E7989"/>
    <w:rsid w:val="003E7CDA"/>
    <w:rsid w:val="003F1C82"/>
    <w:rsid w:val="003F20D3"/>
    <w:rsid w:val="003F219F"/>
    <w:rsid w:val="003F2F52"/>
    <w:rsid w:val="003F5B73"/>
    <w:rsid w:val="003F64DF"/>
    <w:rsid w:val="00400AE3"/>
    <w:rsid w:val="00401661"/>
    <w:rsid w:val="00402981"/>
    <w:rsid w:val="00402BAB"/>
    <w:rsid w:val="00403A90"/>
    <w:rsid w:val="00403F96"/>
    <w:rsid w:val="004074DF"/>
    <w:rsid w:val="00410C0F"/>
    <w:rsid w:val="00411DE1"/>
    <w:rsid w:val="0041209B"/>
    <w:rsid w:val="0041252B"/>
    <w:rsid w:val="004125C7"/>
    <w:rsid w:val="00412A71"/>
    <w:rsid w:val="00413F7F"/>
    <w:rsid w:val="004168B8"/>
    <w:rsid w:val="00416AD3"/>
    <w:rsid w:val="0042045C"/>
    <w:rsid w:val="00423F2A"/>
    <w:rsid w:val="004243F2"/>
    <w:rsid w:val="0042472D"/>
    <w:rsid w:val="00425DD4"/>
    <w:rsid w:val="00427DE4"/>
    <w:rsid w:val="00430CB4"/>
    <w:rsid w:val="00432864"/>
    <w:rsid w:val="004345F4"/>
    <w:rsid w:val="00436C31"/>
    <w:rsid w:val="00440D74"/>
    <w:rsid w:val="00441956"/>
    <w:rsid w:val="0044254F"/>
    <w:rsid w:val="004428BA"/>
    <w:rsid w:val="00442FB4"/>
    <w:rsid w:val="00443561"/>
    <w:rsid w:val="00443E93"/>
    <w:rsid w:val="00444370"/>
    <w:rsid w:val="004447D3"/>
    <w:rsid w:val="00444BFE"/>
    <w:rsid w:val="00446BCF"/>
    <w:rsid w:val="00447B38"/>
    <w:rsid w:val="0045212A"/>
    <w:rsid w:val="0045287E"/>
    <w:rsid w:val="004529BE"/>
    <w:rsid w:val="00453C08"/>
    <w:rsid w:val="0045503A"/>
    <w:rsid w:val="00456BA8"/>
    <w:rsid w:val="00457A06"/>
    <w:rsid w:val="00461933"/>
    <w:rsid w:val="00464DB8"/>
    <w:rsid w:val="004654E0"/>
    <w:rsid w:val="00465ACA"/>
    <w:rsid w:val="00466DFB"/>
    <w:rsid w:val="00467486"/>
    <w:rsid w:val="0047013B"/>
    <w:rsid w:val="00470A7B"/>
    <w:rsid w:val="00470A82"/>
    <w:rsid w:val="00471B0A"/>
    <w:rsid w:val="00474295"/>
    <w:rsid w:val="00475FD7"/>
    <w:rsid w:val="00477669"/>
    <w:rsid w:val="0047768D"/>
    <w:rsid w:val="004803E8"/>
    <w:rsid w:val="004808AA"/>
    <w:rsid w:val="00480ED4"/>
    <w:rsid w:val="004837B7"/>
    <w:rsid w:val="00483B69"/>
    <w:rsid w:val="0048546C"/>
    <w:rsid w:val="00486858"/>
    <w:rsid w:val="00492683"/>
    <w:rsid w:val="00494008"/>
    <w:rsid w:val="00494210"/>
    <w:rsid w:val="00494D6C"/>
    <w:rsid w:val="00494FA5"/>
    <w:rsid w:val="004966BC"/>
    <w:rsid w:val="004966EF"/>
    <w:rsid w:val="004A1266"/>
    <w:rsid w:val="004A1CB0"/>
    <w:rsid w:val="004A25A1"/>
    <w:rsid w:val="004A28CD"/>
    <w:rsid w:val="004A3360"/>
    <w:rsid w:val="004A61BA"/>
    <w:rsid w:val="004A6A55"/>
    <w:rsid w:val="004B0521"/>
    <w:rsid w:val="004B260F"/>
    <w:rsid w:val="004B48F8"/>
    <w:rsid w:val="004B49E4"/>
    <w:rsid w:val="004B65B6"/>
    <w:rsid w:val="004B75D6"/>
    <w:rsid w:val="004B7F7E"/>
    <w:rsid w:val="004C2E54"/>
    <w:rsid w:val="004C41E8"/>
    <w:rsid w:val="004D0103"/>
    <w:rsid w:val="004D1BC7"/>
    <w:rsid w:val="004D4339"/>
    <w:rsid w:val="004D6962"/>
    <w:rsid w:val="004D7CA4"/>
    <w:rsid w:val="004E189E"/>
    <w:rsid w:val="004E1DCE"/>
    <w:rsid w:val="004E2F9F"/>
    <w:rsid w:val="004E319C"/>
    <w:rsid w:val="004E4318"/>
    <w:rsid w:val="004E5F9C"/>
    <w:rsid w:val="004E7EC6"/>
    <w:rsid w:val="004F01D0"/>
    <w:rsid w:val="004F0484"/>
    <w:rsid w:val="004F0D2A"/>
    <w:rsid w:val="004F278E"/>
    <w:rsid w:val="004F37D6"/>
    <w:rsid w:val="004F3D76"/>
    <w:rsid w:val="004F4105"/>
    <w:rsid w:val="004F536D"/>
    <w:rsid w:val="004F6F29"/>
    <w:rsid w:val="00502EDF"/>
    <w:rsid w:val="00502FF5"/>
    <w:rsid w:val="00503028"/>
    <w:rsid w:val="00503BF1"/>
    <w:rsid w:val="00505427"/>
    <w:rsid w:val="00506620"/>
    <w:rsid w:val="00510D91"/>
    <w:rsid w:val="0051181D"/>
    <w:rsid w:val="00511BD7"/>
    <w:rsid w:val="00511C05"/>
    <w:rsid w:val="00512318"/>
    <w:rsid w:val="005127FE"/>
    <w:rsid w:val="00513CFE"/>
    <w:rsid w:val="00514DF1"/>
    <w:rsid w:val="00516043"/>
    <w:rsid w:val="005173FB"/>
    <w:rsid w:val="00517739"/>
    <w:rsid w:val="00521475"/>
    <w:rsid w:val="00521488"/>
    <w:rsid w:val="005219A2"/>
    <w:rsid w:val="00522234"/>
    <w:rsid w:val="0052270C"/>
    <w:rsid w:val="00522C83"/>
    <w:rsid w:val="005265C9"/>
    <w:rsid w:val="005268AB"/>
    <w:rsid w:val="00527EA2"/>
    <w:rsid w:val="0053025E"/>
    <w:rsid w:val="00531491"/>
    <w:rsid w:val="00532277"/>
    <w:rsid w:val="00532C85"/>
    <w:rsid w:val="00534F34"/>
    <w:rsid w:val="00534F98"/>
    <w:rsid w:val="005354AB"/>
    <w:rsid w:val="00535502"/>
    <w:rsid w:val="00535B3B"/>
    <w:rsid w:val="00540289"/>
    <w:rsid w:val="005415A0"/>
    <w:rsid w:val="00541D34"/>
    <w:rsid w:val="00542AB6"/>
    <w:rsid w:val="0054307F"/>
    <w:rsid w:val="005432EF"/>
    <w:rsid w:val="00543AF3"/>
    <w:rsid w:val="00543E12"/>
    <w:rsid w:val="00545DAB"/>
    <w:rsid w:val="00550394"/>
    <w:rsid w:val="00552E99"/>
    <w:rsid w:val="0055435F"/>
    <w:rsid w:val="0055468B"/>
    <w:rsid w:val="0055597C"/>
    <w:rsid w:val="00556846"/>
    <w:rsid w:val="00556F8A"/>
    <w:rsid w:val="00557392"/>
    <w:rsid w:val="00557701"/>
    <w:rsid w:val="00562443"/>
    <w:rsid w:val="00562C22"/>
    <w:rsid w:val="0056338C"/>
    <w:rsid w:val="00564B88"/>
    <w:rsid w:val="00566148"/>
    <w:rsid w:val="0056699F"/>
    <w:rsid w:val="00567DEA"/>
    <w:rsid w:val="00570188"/>
    <w:rsid w:val="00570B71"/>
    <w:rsid w:val="0057113A"/>
    <w:rsid w:val="005711D2"/>
    <w:rsid w:val="0057175D"/>
    <w:rsid w:val="0057594A"/>
    <w:rsid w:val="00577A88"/>
    <w:rsid w:val="005800BA"/>
    <w:rsid w:val="005801A4"/>
    <w:rsid w:val="00580D42"/>
    <w:rsid w:val="00581C78"/>
    <w:rsid w:val="005831C7"/>
    <w:rsid w:val="00583677"/>
    <w:rsid w:val="005836CB"/>
    <w:rsid w:val="00584598"/>
    <w:rsid w:val="005865C8"/>
    <w:rsid w:val="0059291E"/>
    <w:rsid w:val="005943E4"/>
    <w:rsid w:val="0059446D"/>
    <w:rsid w:val="00594B7B"/>
    <w:rsid w:val="00595654"/>
    <w:rsid w:val="00597044"/>
    <w:rsid w:val="005971FC"/>
    <w:rsid w:val="005A22B8"/>
    <w:rsid w:val="005A2795"/>
    <w:rsid w:val="005A2B6C"/>
    <w:rsid w:val="005A3C03"/>
    <w:rsid w:val="005A5061"/>
    <w:rsid w:val="005B1D3B"/>
    <w:rsid w:val="005C44B7"/>
    <w:rsid w:val="005C58DF"/>
    <w:rsid w:val="005C6E77"/>
    <w:rsid w:val="005D22A3"/>
    <w:rsid w:val="005D27E4"/>
    <w:rsid w:val="005D35F7"/>
    <w:rsid w:val="005D6CAE"/>
    <w:rsid w:val="005D7820"/>
    <w:rsid w:val="005E1439"/>
    <w:rsid w:val="005E1C22"/>
    <w:rsid w:val="005E1C71"/>
    <w:rsid w:val="005E1F9C"/>
    <w:rsid w:val="005E21A2"/>
    <w:rsid w:val="005E45AB"/>
    <w:rsid w:val="005E47F4"/>
    <w:rsid w:val="005E611B"/>
    <w:rsid w:val="005F22B7"/>
    <w:rsid w:val="005F40AA"/>
    <w:rsid w:val="005F5A2A"/>
    <w:rsid w:val="005F5EE8"/>
    <w:rsid w:val="005F7108"/>
    <w:rsid w:val="006016DC"/>
    <w:rsid w:val="00601D9E"/>
    <w:rsid w:val="00603230"/>
    <w:rsid w:val="00603FEA"/>
    <w:rsid w:val="00605144"/>
    <w:rsid w:val="006055F8"/>
    <w:rsid w:val="0061013C"/>
    <w:rsid w:val="006104B7"/>
    <w:rsid w:val="0061091F"/>
    <w:rsid w:val="00612DFB"/>
    <w:rsid w:val="00612E8A"/>
    <w:rsid w:val="00614A5E"/>
    <w:rsid w:val="00614C63"/>
    <w:rsid w:val="00622928"/>
    <w:rsid w:val="00622A31"/>
    <w:rsid w:val="006232EA"/>
    <w:rsid w:val="00624159"/>
    <w:rsid w:val="00624787"/>
    <w:rsid w:val="00624DCA"/>
    <w:rsid w:val="00626774"/>
    <w:rsid w:val="00630314"/>
    <w:rsid w:val="00630441"/>
    <w:rsid w:val="00630944"/>
    <w:rsid w:val="00631116"/>
    <w:rsid w:val="00631677"/>
    <w:rsid w:val="006317EF"/>
    <w:rsid w:val="00631F34"/>
    <w:rsid w:val="006330E8"/>
    <w:rsid w:val="006349A6"/>
    <w:rsid w:val="00634C98"/>
    <w:rsid w:val="0063540D"/>
    <w:rsid w:val="006360C4"/>
    <w:rsid w:val="006376E6"/>
    <w:rsid w:val="00637C0E"/>
    <w:rsid w:val="0064047E"/>
    <w:rsid w:val="00643832"/>
    <w:rsid w:val="00644BA0"/>
    <w:rsid w:val="0064522C"/>
    <w:rsid w:val="00646C8E"/>
    <w:rsid w:val="006507BD"/>
    <w:rsid w:val="006519BF"/>
    <w:rsid w:val="006522DC"/>
    <w:rsid w:val="006522EC"/>
    <w:rsid w:val="0065293C"/>
    <w:rsid w:val="00652AEA"/>
    <w:rsid w:val="00653565"/>
    <w:rsid w:val="00653A17"/>
    <w:rsid w:val="006564A7"/>
    <w:rsid w:val="0065724D"/>
    <w:rsid w:val="00657E00"/>
    <w:rsid w:val="006600BA"/>
    <w:rsid w:val="0066069D"/>
    <w:rsid w:val="00660B82"/>
    <w:rsid w:val="00660C4D"/>
    <w:rsid w:val="00661779"/>
    <w:rsid w:val="0066195A"/>
    <w:rsid w:val="00661EA5"/>
    <w:rsid w:val="006628A7"/>
    <w:rsid w:val="00666AA3"/>
    <w:rsid w:val="00667960"/>
    <w:rsid w:val="00671266"/>
    <w:rsid w:val="0067205F"/>
    <w:rsid w:val="00672BD3"/>
    <w:rsid w:val="00673270"/>
    <w:rsid w:val="00673D95"/>
    <w:rsid w:val="006751D3"/>
    <w:rsid w:val="00675DA6"/>
    <w:rsid w:val="00685C08"/>
    <w:rsid w:val="00685E70"/>
    <w:rsid w:val="006871D1"/>
    <w:rsid w:val="00687B25"/>
    <w:rsid w:val="006902FD"/>
    <w:rsid w:val="006922DA"/>
    <w:rsid w:val="00693D97"/>
    <w:rsid w:val="0069445D"/>
    <w:rsid w:val="0069483B"/>
    <w:rsid w:val="00694CD7"/>
    <w:rsid w:val="00695367"/>
    <w:rsid w:val="00695A33"/>
    <w:rsid w:val="00697405"/>
    <w:rsid w:val="006A03BB"/>
    <w:rsid w:val="006A1F65"/>
    <w:rsid w:val="006A315C"/>
    <w:rsid w:val="006A32C3"/>
    <w:rsid w:val="006A32EA"/>
    <w:rsid w:val="006A3691"/>
    <w:rsid w:val="006A4B5E"/>
    <w:rsid w:val="006A4C04"/>
    <w:rsid w:val="006A54E1"/>
    <w:rsid w:val="006A6124"/>
    <w:rsid w:val="006A653C"/>
    <w:rsid w:val="006A69A2"/>
    <w:rsid w:val="006B0D12"/>
    <w:rsid w:val="006B1F79"/>
    <w:rsid w:val="006B20E2"/>
    <w:rsid w:val="006B2F8B"/>
    <w:rsid w:val="006B3176"/>
    <w:rsid w:val="006B38E4"/>
    <w:rsid w:val="006B3DD1"/>
    <w:rsid w:val="006B4C3E"/>
    <w:rsid w:val="006B610B"/>
    <w:rsid w:val="006C4CAE"/>
    <w:rsid w:val="006C5BE2"/>
    <w:rsid w:val="006C7537"/>
    <w:rsid w:val="006D01DA"/>
    <w:rsid w:val="006D3D6A"/>
    <w:rsid w:val="006D61CE"/>
    <w:rsid w:val="006D6553"/>
    <w:rsid w:val="006D6FB1"/>
    <w:rsid w:val="006D76F8"/>
    <w:rsid w:val="006E059C"/>
    <w:rsid w:val="006E0ACE"/>
    <w:rsid w:val="006E0E2A"/>
    <w:rsid w:val="006E15F8"/>
    <w:rsid w:val="006E1738"/>
    <w:rsid w:val="006E3222"/>
    <w:rsid w:val="006E611C"/>
    <w:rsid w:val="006F2755"/>
    <w:rsid w:val="006F6293"/>
    <w:rsid w:val="006F671A"/>
    <w:rsid w:val="0070003C"/>
    <w:rsid w:val="007000EA"/>
    <w:rsid w:val="00703381"/>
    <w:rsid w:val="00703625"/>
    <w:rsid w:val="00703CB9"/>
    <w:rsid w:val="00705659"/>
    <w:rsid w:val="007062E5"/>
    <w:rsid w:val="007067EC"/>
    <w:rsid w:val="00706A97"/>
    <w:rsid w:val="00707688"/>
    <w:rsid w:val="00710945"/>
    <w:rsid w:val="007117E3"/>
    <w:rsid w:val="00717D51"/>
    <w:rsid w:val="00720208"/>
    <w:rsid w:val="00722263"/>
    <w:rsid w:val="007241C4"/>
    <w:rsid w:val="00724E6A"/>
    <w:rsid w:val="00725CD4"/>
    <w:rsid w:val="00726D40"/>
    <w:rsid w:val="00731EDE"/>
    <w:rsid w:val="00732C14"/>
    <w:rsid w:val="00733926"/>
    <w:rsid w:val="00733DCD"/>
    <w:rsid w:val="00733EA3"/>
    <w:rsid w:val="007344EC"/>
    <w:rsid w:val="0073528E"/>
    <w:rsid w:val="00735F17"/>
    <w:rsid w:val="00736FC7"/>
    <w:rsid w:val="00737998"/>
    <w:rsid w:val="0074081D"/>
    <w:rsid w:val="007408C2"/>
    <w:rsid w:val="00741A30"/>
    <w:rsid w:val="00741DAB"/>
    <w:rsid w:val="00742337"/>
    <w:rsid w:val="00742F79"/>
    <w:rsid w:val="0074412B"/>
    <w:rsid w:val="00744450"/>
    <w:rsid w:val="007460DB"/>
    <w:rsid w:val="0074635E"/>
    <w:rsid w:val="007509A5"/>
    <w:rsid w:val="00751407"/>
    <w:rsid w:val="00753413"/>
    <w:rsid w:val="00754C5C"/>
    <w:rsid w:val="0075579E"/>
    <w:rsid w:val="00756926"/>
    <w:rsid w:val="00756D4F"/>
    <w:rsid w:val="007636A5"/>
    <w:rsid w:val="00763A68"/>
    <w:rsid w:val="00765CB0"/>
    <w:rsid w:val="00766D5D"/>
    <w:rsid w:val="00771967"/>
    <w:rsid w:val="00772998"/>
    <w:rsid w:val="007730EC"/>
    <w:rsid w:val="0077343B"/>
    <w:rsid w:val="00775C6F"/>
    <w:rsid w:val="00777A0D"/>
    <w:rsid w:val="00781320"/>
    <w:rsid w:val="00781873"/>
    <w:rsid w:val="00781D0C"/>
    <w:rsid w:val="00781E17"/>
    <w:rsid w:val="007821E4"/>
    <w:rsid w:val="00785E34"/>
    <w:rsid w:val="00786220"/>
    <w:rsid w:val="00786F21"/>
    <w:rsid w:val="00786F90"/>
    <w:rsid w:val="00787FA5"/>
    <w:rsid w:val="007902DE"/>
    <w:rsid w:val="007904D3"/>
    <w:rsid w:val="007916DF"/>
    <w:rsid w:val="00792F75"/>
    <w:rsid w:val="00794A03"/>
    <w:rsid w:val="00794BA6"/>
    <w:rsid w:val="007960B9"/>
    <w:rsid w:val="007A07AB"/>
    <w:rsid w:val="007A0EFE"/>
    <w:rsid w:val="007A1E60"/>
    <w:rsid w:val="007A23E0"/>
    <w:rsid w:val="007A2BBC"/>
    <w:rsid w:val="007A34BD"/>
    <w:rsid w:val="007A3B1D"/>
    <w:rsid w:val="007A3B4E"/>
    <w:rsid w:val="007A44D0"/>
    <w:rsid w:val="007A4D4F"/>
    <w:rsid w:val="007A4DF3"/>
    <w:rsid w:val="007A624E"/>
    <w:rsid w:val="007A7A6B"/>
    <w:rsid w:val="007B04D2"/>
    <w:rsid w:val="007B07C4"/>
    <w:rsid w:val="007B0D89"/>
    <w:rsid w:val="007B130B"/>
    <w:rsid w:val="007B2A89"/>
    <w:rsid w:val="007B44EB"/>
    <w:rsid w:val="007B4F68"/>
    <w:rsid w:val="007B5592"/>
    <w:rsid w:val="007B6358"/>
    <w:rsid w:val="007B664B"/>
    <w:rsid w:val="007B6F06"/>
    <w:rsid w:val="007B7418"/>
    <w:rsid w:val="007C04D1"/>
    <w:rsid w:val="007C19CE"/>
    <w:rsid w:val="007C1CDB"/>
    <w:rsid w:val="007C3ABD"/>
    <w:rsid w:val="007C5543"/>
    <w:rsid w:val="007C61D0"/>
    <w:rsid w:val="007C6369"/>
    <w:rsid w:val="007C7626"/>
    <w:rsid w:val="007D0445"/>
    <w:rsid w:val="007D097B"/>
    <w:rsid w:val="007D1AD0"/>
    <w:rsid w:val="007D1B6D"/>
    <w:rsid w:val="007D3168"/>
    <w:rsid w:val="007D4435"/>
    <w:rsid w:val="007D6C1F"/>
    <w:rsid w:val="007D6C93"/>
    <w:rsid w:val="007D78B0"/>
    <w:rsid w:val="007E10F0"/>
    <w:rsid w:val="007E65B9"/>
    <w:rsid w:val="007E74E4"/>
    <w:rsid w:val="007F0538"/>
    <w:rsid w:val="007F0A1D"/>
    <w:rsid w:val="007F1EC6"/>
    <w:rsid w:val="007F1FFF"/>
    <w:rsid w:val="007F3ADF"/>
    <w:rsid w:val="007F41BE"/>
    <w:rsid w:val="007F66D3"/>
    <w:rsid w:val="007F6822"/>
    <w:rsid w:val="007F6A44"/>
    <w:rsid w:val="007F6EDB"/>
    <w:rsid w:val="00800398"/>
    <w:rsid w:val="008004E8"/>
    <w:rsid w:val="00800D91"/>
    <w:rsid w:val="00802884"/>
    <w:rsid w:val="008041A6"/>
    <w:rsid w:val="00805687"/>
    <w:rsid w:val="00805E7E"/>
    <w:rsid w:val="008069DA"/>
    <w:rsid w:val="008079F4"/>
    <w:rsid w:val="008121B8"/>
    <w:rsid w:val="00812ED9"/>
    <w:rsid w:val="0081505D"/>
    <w:rsid w:val="008158CA"/>
    <w:rsid w:val="00815CA4"/>
    <w:rsid w:val="00816DE4"/>
    <w:rsid w:val="0081752F"/>
    <w:rsid w:val="00820CFF"/>
    <w:rsid w:val="00821942"/>
    <w:rsid w:val="008230A0"/>
    <w:rsid w:val="00824AD0"/>
    <w:rsid w:val="00825385"/>
    <w:rsid w:val="00827F19"/>
    <w:rsid w:val="00831B9B"/>
    <w:rsid w:val="008325F7"/>
    <w:rsid w:val="00832D13"/>
    <w:rsid w:val="00833CAB"/>
    <w:rsid w:val="00836355"/>
    <w:rsid w:val="00840E20"/>
    <w:rsid w:val="00843DE5"/>
    <w:rsid w:val="00844552"/>
    <w:rsid w:val="00845B4C"/>
    <w:rsid w:val="00845C0C"/>
    <w:rsid w:val="00845E0C"/>
    <w:rsid w:val="0084613C"/>
    <w:rsid w:val="00846412"/>
    <w:rsid w:val="008469E9"/>
    <w:rsid w:val="00846D6F"/>
    <w:rsid w:val="008477B0"/>
    <w:rsid w:val="00851903"/>
    <w:rsid w:val="00851BB0"/>
    <w:rsid w:val="00855B0F"/>
    <w:rsid w:val="0085642E"/>
    <w:rsid w:val="008569D1"/>
    <w:rsid w:val="00857219"/>
    <w:rsid w:val="00857A27"/>
    <w:rsid w:val="00860229"/>
    <w:rsid w:val="00862933"/>
    <w:rsid w:val="00862A69"/>
    <w:rsid w:val="008630D1"/>
    <w:rsid w:val="00864C40"/>
    <w:rsid w:val="008679F6"/>
    <w:rsid w:val="00870731"/>
    <w:rsid w:val="0087109E"/>
    <w:rsid w:val="00871B21"/>
    <w:rsid w:val="008721D7"/>
    <w:rsid w:val="0087268C"/>
    <w:rsid w:val="0087360C"/>
    <w:rsid w:val="008737B6"/>
    <w:rsid w:val="0087452C"/>
    <w:rsid w:val="00874E68"/>
    <w:rsid w:val="00876F60"/>
    <w:rsid w:val="0087727B"/>
    <w:rsid w:val="008819D3"/>
    <w:rsid w:val="00881FC2"/>
    <w:rsid w:val="00882ECD"/>
    <w:rsid w:val="008833F4"/>
    <w:rsid w:val="0088392D"/>
    <w:rsid w:val="008840F2"/>
    <w:rsid w:val="0088486C"/>
    <w:rsid w:val="00885F80"/>
    <w:rsid w:val="00890F2A"/>
    <w:rsid w:val="008910C6"/>
    <w:rsid w:val="008921EF"/>
    <w:rsid w:val="008929FD"/>
    <w:rsid w:val="00892DA4"/>
    <w:rsid w:val="008950F9"/>
    <w:rsid w:val="008972CB"/>
    <w:rsid w:val="00897DD7"/>
    <w:rsid w:val="008A0087"/>
    <w:rsid w:val="008A0456"/>
    <w:rsid w:val="008A0BED"/>
    <w:rsid w:val="008A15BA"/>
    <w:rsid w:val="008A18AC"/>
    <w:rsid w:val="008A2047"/>
    <w:rsid w:val="008A3B52"/>
    <w:rsid w:val="008A499F"/>
    <w:rsid w:val="008B0492"/>
    <w:rsid w:val="008B17D8"/>
    <w:rsid w:val="008B2262"/>
    <w:rsid w:val="008B2F84"/>
    <w:rsid w:val="008B419C"/>
    <w:rsid w:val="008B79C4"/>
    <w:rsid w:val="008C1218"/>
    <w:rsid w:val="008C18F7"/>
    <w:rsid w:val="008C2D03"/>
    <w:rsid w:val="008C2E7B"/>
    <w:rsid w:val="008C321C"/>
    <w:rsid w:val="008C3D79"/>
    <w:rsid w:val="008C4AF5"/>
    <w:rsid w:val="008C60E5"/>
    <w:rsid w:val="008C7C5B"/>
    <w:rsid w:val="008D15F1"/>
    <w:rsid w:val="008D1C26"/>
    <w:rsid w:val="008D2891"/>
    <w:rsid w:val="008D2962"/>
    <w:rsid w:val="008D2C2B"/>
    <w:rsid w:val="008D315F"/>
    <w:rsid w:val="008D3E38"/>
    <w:rsid w:val="008D48C1"/>
    <w:rsid w:val="008D567B"/>
    <w:rsid w:val="008D5C6A"/>
    <w:rsid w:val="008D71BA"/>
    <w:rsid w:val="008D7CAD"/>
    <w:rsid w:val="008D7DFD"/>
    <w:rsid w:val="008E26D1"/>
    <w:rsid w:val="008E331B"/>
    <w:rsid w:val="008E5E93"/>
    <w:rsid w:val="008E64F7"/>
    <w:rsid w:val="008E6753"/>
    <w:rsid w:val="008E7334"/>
    <w:rsid w:val="008E76F3"/>
    <w:rsid w:val="008E7DA3"/>
    <w:rsid w:val="008F0D03"/>
    <w:rsid w:val="008F16D0"/>
    <w:rsid w:val="008F28A1"/>
    <w:rsid w:val="008F2F03"/>
    <w:rsid w:val="008F6129"/>
    <w:rsid w:val="008F6B25"/>
    <w:rsid w:val="00900E6F"/>
    <w:rsid w:val="00900F8E"/>
    <w:rsid w:val="00902D51"/>
    <w:rsid w:val="00902E90"/>
    <w:rsid w:val="009034E2"/>
    <w:rsid w:val="00904CB3"/>
    <w:rsid w:val="009052FB"/>
    <w:rsid w:val="009066A2"/>
    <w:rsid w:val="009074C4"/>
    <w:rsid w:val="00907586"/>
    <w:rsid w:val="0091204D"/>
    <w:rsid w:val="009120D8"/>
    <w:rsid w:val="00912C19"/>
    <w:rsid w:val="009139F1"/>
    <w:rsid w:val="00913AEA"/>
    <w:rsid w:val="00913C55"/>
    <w:rsid w:val="009151C7"/>
    <w:rsid w:val="0091594E"/>
    <w:rsid w:val="00915EAD"/>
    <w:rsid w:val="009179C8"/>
    <w:rsid w:val="00917DC0"/>
    <w:rsid w:val="00917EFA"/>
    <w:rsid w:val="009213C4"/>
    <w:rsid w:val="00921BE4"/>
    <w:rsid w:val="00922FA0"/>
    <w:rsid w:val="0092485C"/>
    <w:rsid w:val="009260B3"/>
    <w:rsid w:val="009314A3"/>
    <w:rsid w:val="00931867"/>
    <w:rsid w:val="00931CF8"/>
    <w:rsid w:val="0093298C"/>
    <w:rsid w:val="00932E94"/>
    <w:rsid w:val="0093340D"/>
    <w:rsid w:val="00935E60"/>
    <w:rsid w:val="009365B0"/>
    <w:rsid w:val="0093785F"/>
    <w:rsid w:val="00942352"/>
    <w:rsid w:val="00944392"/>
    <w:rsid w:val="00946B3E"/>
    <w:rsid w:val="009473A8"/>
    <w:rsid w:val="00950145"/>
    <w:rsid w:val="00951A98"/>
    <w:rsid w:val="009521FB"/>
    <w:rsid w:val="009553CC"/>
    <w:rsid w:val="00957A52"/>
    <w:rsid w:val="009604F0"/>
    <w:rsid w:val="0096059B"/>
    <w:rsid w:val="00960B20"/>
    <w:rsid w:val="00960C20"/>
    <w:rsid w:val="00960DA3"/>
    <w:rsid w:val="00961EF1"/>
    <w:rsid w:val="0096294B"/>
    <w:rsid w:val="009630CE"/>
    <w:rsid w:val="00964224"/>
    <w:rsid w:val="00964C44"/>
    <w:rsid w:val="009659E6"/>
    <w:rsid w:val="00966B66"/>
    <w:rsid w:val="00967EB4"/>
    <w:rsid w:val="009700BD"/>
    <w:rsid w:val="00975410"/>
    <w:rsid w:val="00976001"/>
    <w:rsid w:val="00976199"/>
    <w:rsid w:val="009763D8"/>
    <w:rsid w:val="00980FBF"/>
    <w:rsid w:val="0098192A"/>
    <w:rsid w:val="00982ECA"/>
    <w:rsid w:val="00983AB7"/>
    <w:rsid w:val="00984CC0"/>
    <w:rsid w:val="00986B80"/>
    <w:rsid w:val="009907BF"/>
    <w:rsid w:val="009909E2"/>
    <w:rsid w:val="00991121"/>
    <w:rsid w:val="0099116C"/>
    <w:rsid w:val="00991348"/>
    <w:rsid w:val="00993E37"/>
    <w:rsid w:val="009944E4"/>
    <w:rsid w:val="009947DE"/>
    <w:rsid w:val="00994DED"/>
    <w:rsid w:val="00995F1E"/>
    <w:rsid w:val="009974A1"/>
    <w:rsid w:val="009A0F45"/>
    <w:rsid w:val="009A0F75"/>
    <w:rsid w:val="009A21D3"/>
    <w:rsid w:val="009A326D"/>
    <w:rsid w:val="009A5148"/>
    <w:rsid w:val="009A6A99"/>
    <w:rsid w:val="009B0FF9"/>
    <w:rsid w:val="009B2CCE"/>
    <w:rsid w:val="009B2F89"/>
    <w:rsid w:val="009B3328"/>
    <w:rsid w:val="009B411D"/>
    <w:rsid w:val="009B41EF"/>
    <w:rsid w:val="009B4483"/>
    <w:rsid w:val="009B49D5"/>
    <w:rsid w:val="009B4DA2"/>
    <w:rsid w:val="009B644E"/>
    <w:rsid w:val="009C044B"/>
    <w:rsid w:val="009C12D3"/>
    <w:rsid w:val="009C20B9"/>
    <w:rsid w:val="009C2662"/>
    <w:rsid w:val="009C4743"/>
    <w:rsid w:val="009C554E"/>
    <w:rsid w:val="009C56AA"/>
    <w:rsid w:val="009C65E0"/>
    <w:rsid w:val="009C7782"/>
    <w:rsid w:val="009D0AD1"/>
    <w:rsid w:val="009D1E0F"/>
    <w:rsid w:val="009D4391"/>
    <w:rsid w:val="009D482A"/>
    <w:rsid w:val="009D6340"/>
    <w:rsid w:val="009D6B5A"/>
    <w:rsid w:val="009D7029"/>
    <w:rsid w:val="009E0233"/>
    <w:rsid w:val="009E0E84"/>
    <w:rsid w:val="009E1EA9"/>
    <w:rsid w:val="009E57BE"/>
    <w:rsid w:val="009E582C"/>
    <w:rsid w:val="009E6666"/>
    <w:rsid w:val="009E6D1B"/>
    <w:rsid w:val="009E7AA2"/>
    <w:rsid w:val="009E7E96"/>
    <w:rsid w:val="009E7ECE"/>
    <w:rsid w:val="009F05B9"/>
    <w:rsid w:val="009F07CC"/>
    <w:rsid w:val="009F126A"/>
    <w:rsid w:val="009F37E3"/>
    <w:rsid w:val="009F4593"/>
    <w:rsid w:val="009F46F5"/>
    <w:rsid w:val="009F47F4"/>
    <w:rsid w:val="009F4D8C"/>
    <w:rsid w:val="009F51E1"/>
    <w:rsid w:val="009F5BBD"/>
    <w:rsid w:val="009F5F69"/>
    <w:rsid w:val="009F5FDE"/>
    <w:rsid w:val="009F690A"/>
    <w:rsid w:val="009F6B45"/>
    <w:rsid w:val="00A005F0"/>
    <w:rsid w:val="00A03541"/>
    <w:rsid w:val="00A042A4"/>
    <w:rsid w:val="00A051C4"/>
    <w:rsid w:val="00A05B9B"/>
    <w:rsid w:val="00A05FD1"/>
    <w:rsid w:val="00A06CD7"/>
    <w:rsid w:val="00A10A2C"/>
    <w:rsid w:val="00A12EF1"/>
    <w:rsid w:val="00A1307D"/>
    <w:rsid w:val="00A133DC"/>
    <w:rsid w:val="00A1434F"/>
    <w:rsid w:val="00A1456D"/>
    <w:rsid w:val="00A14E4D"/>
    <w:rsid w:val="00A14FCA"/>
    <w:rsid w:val="00A15021"/>
    <w:rsid w:val="00A1762B"/>
    <w:rsid w:val="00A17663"/>
    <w:rsid w:val="00A17D32"/>
    <w:rsid w:val="00A211AE"/>
    <w:rsid w:val="00A213D2"/>
    <w:rsid w:val="00A234DA"/>
    <w:rsid w:val="00A240A4"/>
    <w:rsid w:val="00A240ED"/>
    <w:rsid w:val="00A26A42"/>
    <w:rsid w:val="00A32628"/>
    <w:rsid w:val="00A32876"/>
    <w:rsid w:val="00A32A5C"/>
    <w:rsid w:val="00A32C8F"/>
    <w:rsid w:val="00A36781"/>
    <w:rsid w:val="00A36E48"/>
    <w:rsid w:val="00A37382"/>
    <w:rsid w:val="00A37A42"/>
    <w:rsid w:val="00A40235"/>
    <w:rsid w:val="00A406B4"/>
    <w:rsid w:val="00A41C24"/>
    <w:rsid w:val="00A426FE"/>
    <w:rsid w:val="00A4371E"/>
    <w:rsid w:val="00A43E61"/>
    <w:rsid w:val="00A460FE"/>
    <w:rsid w:val="00A46D47"/>
    <w:rsid w:val="00A46E5A"/>
    <w:rsid w:val="00A50603"/>
    <w:rsid w:val="00A51981"/>
    <w:rsid w:val="00A526EB"/>
    <w:rsid w:val="00A52B58"/>
    <w:rsid w:val="00A55862"/>
    <w:rsid w:val="00A55CBC"/>
    <w:rsid w:val="00A57C09"/>
    <w:rsid w:val="00A601AA"/>
    <w:rsid w:val="00A605EE"/>
    <w:rsid w:val="00A61CE9"/>
    <w:rsid w:val="00A61F9D"/>
    <w:rsid w:val="00A62525"/>
    <w:rsid w:val="00A62E67"/>
    <w:rsid w:val="00A6505C"/>
    <w:rsid w:val="00A650A0"/>
    <w:rsid w:val="00A6541E"/>
    <w:rsid w:val="00A6781E"/>
    <w:rsid w:val="00A67D74"/>
    <w:rsid w:val="00A7352C"/>
    <w:rsid w:val="00A738BB"/>
    <w:rsid w:val="00A74AFB"/>
    <w:rsid w:val="00A756C9"/>
    <w:rsid w:val="00A766FF"/>
    <w:rsid w:val="00A80269"/>
    <w:rsid w:val="00A80563"/>
    <w:rsid w:val="00A81285"/>
    <w:rsid w:val="00A815D6"/>
    <w:rsid w:val="00A81863"/>
    <w:rsid w:val="00A8227C"/>
    <w:rsid w:val="00A82583"/>
    <w:rsid w:val="00A82A83"/>
    <w:rsid w:val="00A82C5C"/>
    <w:rsid w:val="00A83021"/>
    <w:rsid w:val="00A833BE"/>
    <w:rsid w:val="00A83E13"/>
    <w:rsid w:val="00A86611"/>
    <w:rsid w:val="00A86776"/>
    <w:rsid w:val="00A8721F"/>
    <w:rsid w:val="00A90FA6"/>
    <w:rsid w:val="00A95035"/>
    <w:rsid w:val="00A950E5"/>
    <w:rsid w:val="00AA1F3A"/>
    <w:rsid w:val="00AA1FDE"/>
    <w:rsid w:val="00AA2233"/>
    <w:rsid w:val="00AA2D7A"/>
    <w:rsid w:val="00AA2E81"/>
    <w:rsid w:val="00AA43DE"/>
    <w:rsid w:val="00AA4629"/>
    <w:rsid w:val="00AA5019"/>
    <w:rsid w:val="00AA569B"/>
    <w:rsid w:val="00AA59E8"/>
    <w:rsid w:val="00AA5D3B"/>
    <w:rsid w:val="00AA66D8"/>
    <w:rsid w:val="00AA7A83"/>
    <w:rsid w:val="00AA7F30"/>
    <w:rsid w:val="00AB0179"/>
    <w:rsid w:val="00AB0E54"/>
    <w:rsid w:val="00AB1690"/>
    <w:rsid w:val="00AB2A7E"/>
    <w:rsid w:val="00AB2F74"/>
    <w:rsid w:val="00AB5427"/>
    <w:rsid w:val="00AB65C7"/>
    <w:rsid w:val="00AC0A43"/>
    <w:rsid w:val="00AC0F34"/>
    <w:rsid w:val="00AC4150"/>
    <w:rsid w:val="00AC6654"/>
    <w:rsid w:val="00AC79D1"/>
    <w:rsid w:val="00AC7C80"/>
    <w:rsid w:val="00AD05DC"/>
    <w:rsid w:val="00AD2559"/>
    <w:rsid w:val="00AD4360"/>
    <w:rsid w:val="00AD4D59"/>
    <w:rsid w:val="00AD7F1D"/>
    <w:rsid w:val="00AE023D"/>
    <w:rsid w:val="00AE0596"/>
    <w:rsid w:val="00AE2B50"/>
    <w:rsid w:val="00AE3739"/>
    <w:rsid w:val="00AE3D64"/>
    <w:rsid w:val="00AE60B8"/>
    <w:rsid w:val="00AE76F3"/>
    <w:rsid w:val="00AF0DB8"/>
    <w:rsid w:val="00AF1751"/>
    <w:rsid w:val="00AF1E68"/>
    <w:rsid w:val="00AF1FD6"/>
    <w:rsid w:val="00AF37C1"/>
    <w:rsid w:val="00AF5905"/>
    <w:rsid w:val="00AF7200"/>
    <w:rsid w:val="00AF7310"/>
    <w:rsid w:val="00B00B0E"/>
    <w:rsid w:val="00B01AE7"/>
    <w:rsid w:val="00B02058"/>
    <w:rsid w:val="00B0216D"/>
    <w:rsid w:val="00B02A4D"/>
    <w:rsid w:val="00B036E2"/>
    <w:rsid w:val="00B04290"/>
    <w:rsid w:val="00B042AD"/>
    <w:rsid w:val="00B0508E"/>
    <w:rsid w:val="00B0517E"/>
    <w:rsid w:val="00B055DA"/>
    <w:rsid w:val="00B05FC4"/>
    <w:rsid w:val="00B06DEB"/>
    <w:rsid w:val="00B07D39"/>
    <w:rsid w:val="00B07FB2"/>
    <w:rsid w:val="00B102EB"/>
    <w:rsid w:val="00B10F42"/>
    <w:rsid w:val="00B146F3"/>
    <w:rsid w:val="00B1669A"/>
    <w:rsid w:val="00B20E1F"/>
    <w:rsid w:val="00B21142"/>
    <w:rsid w:val="00B23132"/>
    <w:rsid w:val="00B23588"/>
    <w:rsid w:val="00B23B16"/>
    <w:rsid w:val="00B23CAD"/>
    <w:rsid w:val="00B25B48"/>
    <w:rsid w:val="00B2646E"/>
    <w:rsid w:val="00B27BF9"/>
    <w:rsid w:val="00B32217"/>
    <w:rsid w:val="00B3334C"/>
    <w:rsid w:val="00B33C26"/>
    <w:rsid w:val="00B35A5F"/>
    <w:rsid w:val="00B35C60"/>
    <w:rsid w:val="00B40371"/>
    <w:rsid w:val="00B40829"/>
    <w:rsid w:val="00B4220F"/>
    <w:rsid w:val="00B4387C"/>
    <w:rsid w:val="00B444DC"/>
    <w:rsid w:val="00B45043"/>
    <w:rsid w:val="00B4511C"/>
    <w:rsid w:val="00B4517B"/>
    <w:rsid w:val="00B45699"/>
    <w:rsid w:val="00B471B4"/>
    <w:rsid w:val="00B50FB4"/>
    <w:rsid w:val="00B54090"/>
    <w:rsid w:val="00B54A37"/>
    <w:rsid w:val="00B55003"/>
    <w:rsid w:val="00B5546F"/>
    <w:rsid w:val="00B56F67"/>
    <w:rsid w:val="00B6077B"/>
    <w:rsid w:val="00B61BB9"/>
    <w:rsid w:val="00B622A8"/>
    <w:rsid w:val="00B62A39"/>
    <w:rsid w:val="00B6360D"/>
    <w:rsid w:val="00B63ACB"/>
    <w:rsid w:val="00B63E02"/>
    <w:rsid w:val="00B640D5"/>
    <w:rsid w:val="00B648C7"/>
    <w:rsid w:val="00B6582E"/>
    <w:rsid w:val="00B65C66"/>
    <w:rsid w:val="00B66F32"/>
    <w:rsid w:val="00B70237"/>
    <w:rsid w:val="00B73020"/>
    <w:rsid w:val="00B74ADB"/>
    <w:rsid w:val="00B752A4"/>
    <w:rsid w:val="00B76B68"/>
    <w:rsid w:val="00B8112F"/>
    <w:rsid w:val="00B812DE"/>
    <w:rsid w:val="00B81BB7"/>
    <w:rsid w:val="00B8248F"/>
    <w:rsid w:val="00B82C0C"/>
    <w:rsid w:val="00B82D96"/>
    <w:rsid w:val="00B837F8"/>
    <w:rsid w:val="00B83D91"/>
    <w:rsid w:val="00B8772C"/>
    <w:rsid w:val="00B87CA9"/>
    <w:rsid w:val="00B90184"/>
    <w:rsid w:val="00B9071C"/>
    <w:rsid w:val="00B90B26"/>
    <w:rsid w:val="00B91258"/>
    <w:rsid w:val="00B93DFB"/>
    <w:rsid w:val="00B950E9"/>
    <w:rsid w:val="00B95195"/>
    <w:rsid w:val="00B97A4B"/>
    <w:rsid w:val="00BA1456"/>
    <w:rsid w:val="00BA34B6"/>
    <w:rsid w:val="00BA3526"/>
    <w:rsid w:val="00BA56D6"/>
    <w:rsid w:val="00BA708C"/>
    <w:rsid w:val="00BA71E5"/>
    <w:rsid w:val="00BB01F7"/>
    <w:rsid w:val="00BB12A6"/>
    <w:rsid w:val="00BB2028"/>
    <w:rsid w:val="00BB26DC"/>
    <w:rsid w:val="00BB2990"/>
    <w:rsid w:val="00BB3AF0"/>
    <w:rsid w:val="00BB7C86"/>
    <w:rsid w:val="00BC0904"/>
    <w:rsid w:val="00BC0DD5"/>
    <w:rsid w:val="00BC1AEC"/>
    <w:rsid w:val="00BC2E95"/>
    <w:rsid w:val="00BC3561"/>
    <w:rsid w:val="00BC5E77"/>
    <w:rsid w:val="00BC7EDB"/>
    <w:rsid w:val="00BD0206"/>
    <w:rsid w:val="00BD2AAF"/>
    <w:rsid w:val="00BD31C5"/>
    <w:rsid w:val="00BD41BA"/>
    <w:rsid w:val="00BD4B10"/>
    <w:rsid w:val="00BD53AA"/>
    <w:rsid w:val="00BD5806"/>
    <w:rsid w:val="00BD5B7A"/>
    <w:rsid w:val="00BD6B18"/>
    <w:rsid w:val="00BE0E15"/>
    <w:rsid w:val="00BE218D"/>
    <w:rsid w:val="00BE2547"/>
    <w:rsid w:val="00BE2B7C"/>
    <w:rsid w:val="00BE2C3C"/>
    <w:rsid w:val="00BE32ED"/>
    <w:rsid w:val="00BE3331"/>
    <w:rsid w:val="00BE3491"/>
    <w:rsid w:val="00BE54C8"/>
    <w:rsid w:val="00BE6215"/>
    <w:rsid w:val="00BE6F8F"/>
    <w:rsid w:val="00BE7FF2"/>
    <w:rsid w:val="00BF38F0"/>
    <w:rsid w:val="00BF71BE"/>
    <w:rsid w:val="00C02B8B"/>
    <w:rsid w:val="00C0415D"/>
    <w:rsid w:val="00C04A3B"/>
    <w:rsid w:val="00C06270"/>
    <w:rsid w:val="00C06F1E"/>
    <w:rsid w:val="00C072C5"/>
    <w:rsid w:val="00C10297"/>
    <w:rsid w:val="00C105D4"/>
    <w:rsid w:val="00C10D82"/>
    <w:rsid w:val="00C113BC"/>
    <w:rsid w:val="00C1216D"/>
    <w:rsid w:val="00C1518D"/>
    <w:rsid w:val="00C15612"/>
    <w:rsid w:val="00C1583E"/>
    <w:rsid w:val="00C16322"/>
    <w:rsid w:val="00C16833"/>
    <w:rsid w:val="00C1797D"/>
    <w:rsid w:val="00C207E7"/>
    <w:rsid w:val="00C2091E"/>
    <w:rsid w:val="00C22A0D"/>
    <w:rsid w:val="00C22A2D"/>
    <w:rsid w:val="00C25441"/>
    <w:rsid w:val="00C34226"/>
    <w:rsid w:val="00C3461C"/>
    <w:rsid w:val="00C36979"/>
    <w:rsid w:val="00C36AF6"/>
    <w:rsid w:val="00C371C7"/>
    <w:rsid w:val="00C373DF"/>
    <w:rsid w:val="00C37EE6"/>
    <w:rsid w:val="00C40A12"/>
    <w:rsid w:val="00C41234"/>
    <w:rsid w:val="00C41BC2"/>
    <w:rsid w:val="00C42FC9"/>
    <w:rsid w:val="00C447BE"/>
    <w:rsid w:val="00C4530D"/>
    <w:rsid w:val="00C455AB"/>
    <w:rsid w:val="00C456AE"/>
    <w:rsid w:val="00C45CCC"/>
    <w:rsid w:val="00C45E52"/>
    <w:rsid w:val="00C46076"/>
    <w:rsid w:val="00C50870"/>
    <w:rsid w:val="00C51727"/>
    <w:rsid w:val="00C518AE"/>
    <w:rsid w:val="00C5300C"/>
    <w:rsid w:val="00C53E65"/>
    <w:rsid w:val="00C54107"/>
    <w:rsid w:val="00C5566E"/>
    <w:rsid w:val="00C557D0"/>
    <w:rsid w:val="00C56A1F"/>
    <w:rsid w:val="00C57D8F"/>
    <w:rsid w:val="00C61004"/>
    <w:rsid w:val="00C611C1"/>
    <w:rsid w:val="00C61258"/>
    <w:rsid w:val="00C62195"/>
    <w:rsid w:val="00C63E89"/>
    <w:rsid w:val="00C64A5F"/>
    <w:rsid w:val="00C66C5C"/>
    <w:rsid w:val="00C675C1"/>
    <w:rsid w:val="00C679A9"/>
    <w:rsid w:val="00C67D83"/>
    <w:rsid w:val="00C70739"/>
    <w:rsid w:val="00C70904"/>
    <w:rsid w:val="00C71298"/>
    <w:rsid w:val="00C7216B"/>
    <w:rsid w:val="00C735E9"/>
    <w:rsid w:val="00C74937"/>
    <w:rsid w:val="00C74C7B"/>
    <w:rsid w:val="00C7593B"/>
    <w:rsid w:val="00C76C4F"/>
    <w:rsid w:val="00C77A70"/>
    <w:rsid w:val="00C802DF"/>
    <w:rsid w:val="00C81229"/>
    <w:rsid w:val="00C826BB"/>
    <w:rsid w:val="00C835C6"/>
    <w:rsid w:val="00C8376C"/>
    <w:rsid w:val="00C837AA"/>
    <w:rsid w:val="00C845BC"/>
    <w:rsid w:val="00C8508F"/>
    <w:rsid w:val="00C862DB"/>
    <w:rsid w:val="00C86806"/>
    <w:rsid w:val="00C91A11"/>
    <w:rsid w:val="00C945CD"/>
    <w:rsid w:val="00C96512"/>
    <w:rsid w:val="00C97343"/>
    <w:rsid w:val="00C974EC"/>
    <w:rsid w:val="00C97FCB"/>
    <w:rsid w:val="00CA0FC3"/>
    <w:rsid w:val="00CA1329"/>
    <w:rsid w:val="00CA2625"/>
    <w:rsid w:val="00CA28B1"/>
    <w:rsid w:val="00CA2A84"/>
    <w:rsid w:val="00CA6BCB"/>
    <w:rsid w:val="00CA6C6B"/>
    <w:rsid w:val="00CA6F37"/>
    <w:rsid w:val="00CA796E"/>
    <w:rsid w:val="00CA7E18"/>
    <w:rsid w:val="00CB297E"/>
    <w:rsid w:val="00CB2BD6"/>
    <w:rsid w:val="00CB3147"/>
    <w:rsid w:val="00CB427C"/>
    <w:rsid w:val="00CB46A0"/>
    <w:rsid w:val="00CB4A12"/>
    <w:rsid w:val="00CB54A4"/>
    <w:rsid w:val="00CB66E0"/>
    <w:rsid w:val="00CB68F2"/>
    <w:rsid w:val="00CB7570"/>
    <w:rsid w:val="00CB7A51"/>
    <w:rsid w:val="00CC05A2"/>
    <w:rsid w:val="00CC15A2"/>
    <w:rsid w:val="00CC177C"/>
    <w:rsid w:val="00CC309E"/>
    <w:rsid w:val="00CC319C"/>
    <w:rsid w:val="00CC41B3"/>
    <w:rsid w:val="00CC5292"/>
    <w:rsid w:val="00CC59FB"/>
    <w:rsid w:val="00CC6BB1"/>
    <w:rsid w:val="00CC6E4A"/>
    <w:rsid w:val="00CC7669"/>
    <w:rsid w:val="00CC7DAD"/>
    <w:rsid w:val="00CD0D14"/>
    <w:rsid w:val="00CD15D6"/>
    <w:rsid w:val="00CD2B1D"/>
    <w:rsid w:val="00CD3167"/>
    <w:rsid w:val="00CD34F7"/>
    <w:rsid w:val="00CD599E"/>
    <w:rsid w:val="00CD67CA"/>
    <w:rsid w:val="00CD741C"/>
    <w:rsid w:val="00CD7FD7"/>
    <w:rsid w:val="00CE0177"/>
    <w:rsid w:val="00CE4B5C"/>
    <w:rsid w:val="00CE5CAB"/>
    <w:rsid w:val="00CE63BA"/>
    <w:rsid w:val="00CE655E"/>
    <w:rsid w:val="00CE7BF0"/>
    <w:rsid w:val="00CF01C0"/>
    <w:rsid w:val="00CF0394"/>
    <w:rsid w:val="00CF0A80"/>
    <w:rsid w:val="00CF130B"/>
    <w:rsid w:val="00CF25FC"/>
    <w:rsid w:val="00CF2E21"/>
    <w:rsid w:val="00CF4202"/>
    <w:rsid w:val="00CF5DA9"/>
    <w:rsid w:val="00CF657D"/>
    <w:rsid w:val="00CF6EE8"/>
    <w:rsid w:val="00CF7D85"/>
    <w:rsid w:val="00D02687"/>
    <w:rsid w:val="00D02D47"/>
    <w:rsid w:val="00D0326F"/>
    <w:rsid w:val="00D047A7"/>
    <w:rsid w:val="00D04E2B"/>
    <w:rsid w:val="00D06015"/>
    <w:rsid w:val="00D10299"/>
    <w:rsid w:val="00D105A6"/>
    <w:rsid w:val="00D10880"/>
    <w:rsid w:val="00D10F52"/>
    <w:rsid w:val="00D115BD"/>
    <w:rsid w:val="00D13A8A"/>
    <w:rsid w:val="00D15264"/>
    <w:rsid w:val="00D1582C"/>
    <w:rsid w:val="00D207F2"/>
    <w:rsid w:val="00D22AC1"/>
    <w:rsid w:val="00D25A60"/>
    <w:rsid w:val="00D26F5A"/>
    <w:rsid w:val="00D30476"/>
    <w:rsid w:val="00D32321"/>
    <w:rsid w:val="00D32541"/>
    <w:rsid w:val="00D3285B"/>
    <w:rsid w:val="00D3323D"/>
    <w:rsid w:val="00D33A5D"/>
    <w:rsid w:val="00D33BD2"/>
    <w:rsid w:val="00D3431C"/>
    <w:rsid w:val="00D34A17"/>
    <w:rsid w:val="00D34C49"/>
    <w:rsid w:val="00D36AC5"/>
    <w:rsid w:val="00D36BE5"/>
    <w:rsid w:val="00D36C23"/>
    <w:rsid w:val="00D37091"/>
    <w:rsid w:val="00D405DB"/>
    <w:rsid w:val="00D4100E"/>
    <w:rsid w:val="00D41904"/>
    <w:rsid w:val="00D4210F"/>
    <w:rsid w:val="00D422B8"/>
    <w:rsid w:val="00D42594"/>
    <w:rsid w:val="00D427DE"/>
    <w:rsid w:val="00D45423"/>
    <w:rsid w:val="00D46A0E"/>
    <w:rsid w:val="00D50D4E"/>
    <w:rsid w:val="00D5123D"/>
    <w:rsid w:val="00D51541"/>
    <w:rsid w:val="00D52C1C"/>
    <w:rsid w:val="00D52E8E"/>
    <w:rsid w:val="00D5514A"/>
    <w:rsid w:val="00D56C31"/>
    <w:rsid w:val="00D57E43"/>
    <w:rsid w:val="00D60281"/>
    <w:rsid w:val="00D61314"/>
    <w:rsid w:val="00D64843"/>
    <w:rsid w:val="00D64F2E"/>
    <w:rsid w:val="00D65356"/>
    <w:rsid w:val="00D65FA5"/>
    <w:rsid w:val="00D6614A"/>
    <w:rsid w:val="00D664F2"/>
    <w:rsid w:val="00D704FD"/>
    <w:rsid w:val="00D70A84"/>
    <w:rsid w:val="00D70F7B"/>
    <w:rsid w:val="00D71362"/>
    <w:rsid w:val="00D73B9C"/>
    <w:rsid w:val="00D73E7D"/>
    <w:rsid w:val="00D817CB"/>
    <w:rsid w:val="00D869AB"/>
    <w:rsid w:val="00D90A6F"/>
    <w:rsid w:val="00D91834"/>
    <w:rsid w:val="00D91915"/>
    <w:rsid w:val="00D919FD"/>
    <w:rsid w:val="00D91A7F"/>
    <w:rsid w:val="00D92B58"/>
    <w:rsid w:val="00D92C7F"/>
    <w:rsid w:val="00DA07EC"/>
    <w:rsid w:val="00DA19F8"/>
    <w:rsid w:val="00DA1F5C"/>
    <w:rsid w:val="00DA375F"/>
    <w:rsid w:val="00DA43C1"/>
    <w:rsid w:val="00DA4B17"/>
    <w:rsid w:val="00DA5B08"/>
    <w:rsid w:val="00DA6A79"/>
    <w:rsid w:val="00DA6F8D"/>
    <w:rsid w:val="00DA7BC5"/>
    <w:rsid w:val="00DB006E"/>
    <w:rsid w:val="00DB03E9"/>
    <w:rsid w:val="00DB10D0"/>
    <w:rsid w:val="00DB212C"/>
    <w:rsid w:val="00DB2B01"/>
    <w:rsid w:val="00DB5EDA"/>
    <w:rsid w:val="00DB60BC"/>
    <w:rsid w:val="00DC3230"/>
    <w:rsid w:val="00DC401A"/>
    <w:rsid w:val="00DC5103"/>
    <w:rsid w:val="00DC572B"/>
    <w:rsid w:val="00DC6288"/>
    <w:rsid w:val="00DC6E99"/>
    <w:rsid w:val="00DC7153"/>
    <w:rsid w:val="00DC7F64"/>
    <w:rsid w:val="00DD108E"/>
    <w:rsid w:val="00DD21B7"/>
    <w:rsid w:val="00DD36F9"/>
    <w:rsid w:val="00DD5620"/>
    <w:rsid w:val="00DD633F"/>
    <w:rsid w:val="00DE07CB"/>
    <w:rsid w:val="00DE0857"/>
    <w:rsid w:val="00DE110E"/>
    <w:rsid w:val="00DE1D70"/>
    <w:rsid w:val="00DE26FA"/>
    <w:rsid w:val="00DE3810"/>
    <w:rsid w:val="00DE44FA"/>
    <w:rsid w:val="00DE51A5"/>
    <w:rsid w:val="00DE6729"/>
    <w:rsid w:val="00DE6985"/>
    <w:rsid w:val="00DF1D7E"/>
    <w:rsid w:val="00DF48DD"/>
    <w:rsid w:val="00DF49A8"/>
    <w:rsid w:val="00DF4A9E"/>
    <w:rsid w:val="00DF7084"/>
    <w:rsid w:val="00E02A09"/>
    <w:rsid w:val="00E0340D"/>
    <w:rsid w:val="00E03674"/>
    <w:rsid w:val="00E039BE"/>
    <w:rsid w:val="00E04605"/>
    <w:rsid w:val="00E056E8"/>
    <w:rsid w:val="00E061EC"/>
    <w:rsid w:val="00E1041E"/>
    <w:rsid w:val="00E10E4C"/>
    <w:rsid w:val="00E1141E"/>
    <w:rsid w:val="00E12AB2"/>
    <w:rsid w:val="00E12C8D"/>
    <w:rsid w:val="00E1383C"/>
    <w:rsid w:val="00E138F2"/>
    <w:rsid w:val="00E13A6B"/>
    <w:rsid w:val="00E14258"/>
    <w:rsid w:val="00E14F56"/>
    <w:rsid w:val="00E15EB0"/>
    <w:rsid w:val="00E211F7"/>
    <w:rsid w:val="00E216F9"/>
    <w:rsid w:val="00E2259B"/>
    <w:rsid w:val="00E232F6"/>
    <w:rsid w:val="00E235BB"/>
    <w:rsid w:val="00E23CC1"/>
    <w:rsid w:val="00E24A7D"/>
    <w:rsid w:val="00E2514A"/>
    <w:rsid w:val="00E25274"/>
    <w:rsid w:val="00E25607"/>
    <w:rsid w:val="00E25647"/>
    <w:rsid w:val="00E31072"/>
    <w:rsid w:val="00E31E29"/>
    <w:rsid w:val="00E324D3"/>
    <w:rsid w:val="00E35F89"/>
    <w:rsid w:val="00E36E00"/>
    <w:rsid w:val="00E37153"/>
    <w:rsid w:val="00E40080"/>
    <w:rsid w:val="00E406E9"/>
    <w:rsid w:val="00E41149"/>
    <w:rsid w:val="00E412D7"/>
    <w:rsid w:val="00E422CD"/>
    <w:rsid w:val="00E44269"/>
    <w:rsid w:val="00E44618"/>
    <w:rsid w:val="00E4648C"/>
    <w:rsid w:val="00E46BDC"/>
    <w:rsid w:val="00E47EB5"/>
    <w:rsid w:val="00E50E03"/>
    <w:rsid w:val="00E50F75"/>
    <w:rsid w:val="00E52D7C"/>
    <w:rsid w:val="00E52E52"/>
    <w:rsid w:val="00E535FE"/>
    <w:rsid w:val="00E553A6"/>
    <w:rsid w:val="00E5551F"/>
    <w:rsid w:val="00E57F2B"/>
    <w:rsid w:val="00E6014C"/>
    <w:rsid w:val="00E623C4"/>
    <w:rsid w:val="00E6366A"/>
    <w:rsid w:val="00E64872"/>
    <w:rsid w:val="00E66321"/>
    <w:rsid w:val="00E67E2C"/>
    <w:rsid w:val="00E706E5"/>
    <w:rsid w:val="00E71255"/>
    <w:rsid w:val="00E712D2"/>
    <w:rsid w:val="00E7268B"/>
    <w:rsid w:val="00E73186"/>
    <w:rsid w:val="00E74494"/>
    <w:rsid w:val="00E74E25"/>
    <w:rsid w:val="00E758DF"/>
    <w:rsid w:val="00E80365"/>
    <w:rsid w:val="00E815A0"/>
    <w:rsid w:val="00E83992"/>
    <w:rsid w:val="00E839A2"/>
    <w:rsid w:val="00E8535A"/>
    <w:rsid w:val="00E8644D"/>
    <w:rsid w:val="00E867B9"/>
    <w:rsid w:val="00E873FB"/>
    <w:rsid w:val="00E90704"/>
    <w:rsid w:val="00E90D82"/>
    <w:rsid w:val="00E90FE4"/>
    <w:rsid w:val="00E94943"/>
    <w:rsid w:val="00E95A5F"/>
    <w:rsid w:val="00E966C9"/>
    <w:rsid w:val="00EA0AF4"/>
    <w:rsid w:val="00EA1CCD"/>
    <w:rsid w:val="00EA21CD"/>
    <w:rsid w:val="00EA2ECC"/>
    <w:rsid w:val="00EA339B"/>
    <w:rsid w:val="00EA3557"/>
    <w:rsid w:val="00EA6C80"/>
    <w:rsid w:val="00EB000C"/>
    <w:rsid w:val="00EB17EB"/>
    <w:rsid w:val="00EB2837"/>
    <w:rsid w:val="00EB30DC"/>
    <w:rsid w:val="00EB31B5"/>
    <w:rsid w:val="00EB446C"/>
    <w:rsid w:val="00EB4972"/>
    <w:rsid w:val="00EB4DA2"/>
    <w:rsid w:val="00EB4E3D"/>
    <w:rsid w:val="00EB5720"/>
    <w:rsid w:val="00EB69C5"/>
    <w:rsid w:val="00EB7B22"/>
    <w:rsid w:val="00EB7C6A"/>
    <w:rsid w:val="00EC1545"/>
    <w:rsid w:val="00EC1738"/>
    <w:rsid w:val="00EC20EE"/>
    <w:rsid w:val="00EC3102"/>
    <w:rsid w:val="00EC3E53"/>
    <w:rsid w:val="00EC6592"/>
    <w:rsid w:val="00EC67EC"/>
    <w:rsid w:val="00EC684B"/>
    <w:rsid w:val="00EC7584"/>
    <w:rsid w:val="00ED12EB"/>
    <w:rsid w:val="00ED2390"/>
    <w:rsid w:val="00ED2476"/>
    <w:rsid w:val="00ED3219"/>
    <w:rsid w:val="00ED3927"/>
    <w:rsid w:val="00ED5377"/>
    <w:rsid w:val="00ED6E22"/>
    <w:rsid w:val="00ED7BDD"/>
    <w:rsid w:val="00EE090A"/>
    <w:rsid w:val="00EE3995"/>
    <w:rsid w:val="00EE3DF4"/>
    <w:rsid w:val="00EE4180"/>
    <w:rsid w:val="00EE6D5B"/>
    <w:rsid w:val="00EF1BC9"/>
    <w:rsid w:val="00EF1EBA"/>
    <w:rsid w:val="00EF28D5"/>
    <w:rsid w:val="00EF4306"/>
    <w:rsid w:val="00EF614B"/>
    <w:rsid w:val="00EF625A"/>
    <w:rsid w:val="00F0029C"/>
    <w:rsid w:val="00F00BDF"/>
    <w:rsid w:val="00F04617"/>
    <w:rsid w:val="00F04CA2"/>
    <w:rsid w:val="00F102A6"/>
    <w:rsid w:val="00F104EF"/>
    <w:rsid w:val="00F105CE"/>
    <w:rsid w:val="00F10D82"/>
    <w:rsid w:val="00F11092"/>
    <w:rsid w:val="00F11292"/>
    <w:rsid w:val="00F11DF2"/>
    <w:rsid w:val="00F12010"/>
    <w:rsid w:val="00F12D3A"/>
    <w:rsid w:val="00F13F72"/>
    <w:rsid w:val="00F141EF"/>
    <w:rsid w:val="00F15253"/>
    <w:rsid w:val="00F16AA8"/>
    <w:rsid w:val="00F17AD9"/>
    <w:rsid w:val="00F215D4"/>
    <w:rsid w:val="00F21728"/>
    <w:rsid w:val="00F22B68"/>
    <w:rsid w:val="00F23862"/>
    <w:rsid w:val="00F23CF5"/>
    <w:rsid w:val="00F23E82"/>
    <w:rsid w:val="00F25242"/>
    <w:rsid w:val="00F27F11"/>
    <w:rsid w:val="00F30A55"/>
    <w:rsid w:val="00F32586"/>
    <w:rsid w:val="00F32E5C"/>
    <w:rsid w:val="00F3426D"/>
    <w:rsid w:val="00F35487"/>
    <w:rsid w:val="00F375E6"/>
    <w:rsid w:val="00F37D1D"/>
    <w:rsid w:val="00F40D73"/>
    <w:rsid w:val="00F413A7"/>
    <w:rsid w:val="00F418C2"/>
    <w:rsid w:val="00F43762"/>
    <w:rsid w:val="00F441BD"/>
    <w:rsid w:val="00F44284"/>
    <w:rsid w:val="00F443F5"/>
    <w:rsid w:val="00F4669D"/>
    <w:rsid w:val="00F4716A"/>
    <w:rsid w:val="00F502CB"/>
    <w:rsid w:val="00F5048F"/>
    <w:rsid w:val="00F50833"/>
    <w:rsid w:val="00F51A1A"/>
    <w:rsid w:val="00F56C5D"/>
    <w:rsid w:val="00F57A8E"/>
    <w:rsid w:val="00F6134A"/>
    <w:rsid w:val="00F61B8F"/>
    <w:rsid w:val="00F6220A"/>
    <w:rsid w:val="00F645EF"/>
    <w:rsid w:val="00F64C52"/>
    <w:rsid w:val="00F64E52"/>
    <w:rsid w:val="00F65DC8"/>
    <w:rsid w:val="00F662DD"/>
    <w:rsid w:val="00F67139"/>
    <w:rsid w:val="00F70470"/>
    <w:rsid w:val="00F7135C"/>
    <w:rsid w:val="00F71D3C"/>
    <w:rsid w:val="00F7214C"/>
    <w:rsid w:val="00F722C5"/>
    <w:rsid w:val="00F75298"/>
    <w:rsid w:val="00F75DCA"/>
    <w:rsid w:val="00F76389"/>
    <w:rsid w:val="00F7662B"/>
    <w:rsid w:val="00F76884"/>
    <w:rsid w:val="00F76A7B"/>
    <w:rsid w:val="00F7719D"/>
    <w:rsid w:val="00F77543"/>
    <w:rsid w:val="00F81EF8"/>
    <w:rsid w:val="00F83134"/>
    <w:rsid w:val="00F8381F"/>
    <w:rsid w:val="00F85F06"/>
    <w:rsid w:val="00F86851"/>
    <w:rsid w:val="00F871E3"/>
    <w:rsid w:val="00F907F7"/>
    <w:rsid w:val="00F912CA"/>
    <w:rsid w:val="00F930CB"/>
    <w:rsid w:val="00F932F5"/>
    <w:rsid w:val="00F933ED"/>
    <w:rsid w:val="00F9504D"/>
    <w:rsid w:val="00F9522E"/>
    <w:rsid w:val="00F95965"/>
    <w:rsid w:val="00F965B7"/>
    <w:rsid w:val="00FA16A5"/>
    <w:rsid w:val="00FA2596"/>
    <w:rsid w:val="00FA330A"/>
    <w:rsid w:val="00FA4BF0"/>
    <w:rsid w:val="00FA5FAB"/>
    <w:rsid w:val="00FA7665"/>
    <w:rsid w:val="00FB183D"/>
    <w:rsid w:val="00FB1B54"/>
    <w:rsid w:val="00FB302A"/>
    <w:rsid w:val="00FB3505"/>
    <w:rsid w:val="00FB4DAA"/>
    <w:rsid w:val="00FB5D40"/>
    <w:rsid w:val="00FC0798"/>
    <w:rsid w:val="00FC1E3F"/>
    <w:rsid w:val="00FC1E99"/>
    <w:rsid w:val="00FC1FCB"/>
    <w:rsid w:val="00FC2F74"/>
    <w:rsid w:val="00FC370E"/>
    <w:rsid w:val="00FC562C"/>
    <w:rsid w:val="00FC61AE"/>
    <w:rsid w:val="00FD39A9"/>
    <w:rsid w:val="00FD44E1"/>
    <w:rsid w:val="00FD4A45"/>
    <w:rsid w:val="00FD60A9"/>
    <w:rsid w:val="00FD6E4A"/>
    <w:rsid w:val="00FD70F6"/>
    <w:rsid w:val="00FD799E"/>
    <w:rsid w:val="00FD7DF5"/>
    <w:rsid w:val="00FE096F"/>
    <w:rsid w:val="00FE0C0D"/>
    <w:rsid w:val="00FE2220"/>
    <w:rsid w:val="00FE3B9B"/>
    <w:rsid w:val="00FE3F56"/>
    <w:rsid w:val="00FE4C84"/>
    <w:rsid w:val="00FE65A9"/>
    <w:rsid w:val="00FE6DE3"/>
    <w:rsid w:val="00FF0BFF"/>
    <w:rsid w:val="00FF0C8B"/>
    <w:rsid w:val="00FF1C08"/>
    <w:rsid w:val="00FF222B"/>
    <w:rsid w:val="00FF357D"/>
    <w:rsid w:val="00FF41FB"/>
    <w:rsid w:val="00FF4B72"/>
    <w:rsid w:val="00FF4E3B"/>
    <w:rsid w:val="00FF53E3"/>
    <w:rsid w:val="01192C1F"/>
    <w:rsid w:val="018A1427"/>
    <w:rsid w:val="01D13934"/>
    <w:rsid w:val="035F2367"/>
    <w:rsid w:val="038341E7"/>
    <w:rsid w:val="0385459C"/>
    <w:rsid w:val="03A56FEA"/>
    <w:rsid w:val="041C3669"/>
    <w:rsid w:val="047D1A1D"/>
    <w:rsid w:val="04B54A0D"/>
    <w:rsid w:val="05131971"/>
    <w:rsid w:val="051E4E41"/>
    <w:rsid w:val="05432019"/>
    <w:rsid w:val="05891E59"/>
    <w:rsid w:val="05B253F0"/>
    <w:rsid w:val="05E17D05"/>
    <w:rsid w:val="068036AA"/>
    <w:rsid w:val="06985B99"/>
    <w:rsid w:val="06BD229F"/>
    <w:rsid w:val="07081A08"/>
    <w:rsid w:val="07343F0C"/>
    <w:rsid w:val="0749768F"/>
    <w:rsid w:val="0788610A"/>
    <w:rsid w:val="086F1438"/>
    <w:rsid w:val="08712F5D"/>
    <w:rsid w:val="08A07DBC"/>
    <w:rsid w:val="08FA3336"/>
    <w:rsid w:val="09275462"/>
    <w:rsid w:val="092D72FE"/>
    <w:rsid w:val="0A9B2AF6"/>
    <w:rsid w:val="0AA345B4"/>
    <w:rsid w:val="0ADC3B2B"/>
    <w:rsid w:val="0AE75A40"/>
    <w:rsid w:val="0AEC6CAF"/>
    <w:rsid w:val="0B1174FE"/>
    <w:rsid w:val="0B2A37F4"/>
    <w:rsid w:val="0C6D2071"/>
    <w:rsid w:val="0CB754DF"/>
    <w:rsid w:val="0CF307C8"/>
    <w:rsid w:val="0D5B541C"/>
    <w:rsid w:val="0DA6620F"/>
    <w:rsid w:val="0E0A0117"/>
    <w:rsid w:val="0E1A333D"/>
    <w:rsid w:val="0E2F5830"/>
    <w:rsid w:val="0E721BC1"/>
    <w:rsid w:val="0E7766DA"/>
    <w:rsid w:val="0EB2020F"/>
    <w:rsid w:val="0EB53547"/>
    <w:rsid w:val="0F1C6A13"/>
    <w:rsid w:val="0F24110D"/>
    <w:rsid w:val="0F697FE5"/>
    <w:rsid w:val="0FB06067"/>
    <w:rsid w:val="0FC44701"/>
    <w:rsid w:val="100F0567"/>
    <w:rsid w:val="1025083A"/>
    <w:rsid w:val="103E5A9F"/>
    <w:rsid w:val="109F0233"/>
    <w:rsid w:val="10D42720"/>
    <w:rsid w:val="10EA44A8"/>
    <w:rsid w:val="1180379F"/>
    <w:rsid w:val="11CD0BE3"/>
    <w:rsid w:val="120B3EBE"/>
    <w:rsid w:val="12296A3A"/>
    <w:rsid w:val="12616459"/>
    <w:rsid w:val="12874F85"/>
    <w:rsid w:val="12B409FA"/>
    <w:rsid w:val="12C111F6"/>
    <w:rsid w:val="12ED6298"/>
    <w:rsid w:val="131612B5"/>
    <w:rsid w:val="136C3842"/>
    <w:rsid w:val="137703AE"/>
    <w:rsid w:val="13901E58"/>
    <w:rsid w:val="13E564E9"/>
    <w:rsid w:val="13E97BA5"/>
    <w:rsid w:val="13FC1505"/>
    <w:rsid w:val="142C45C0"/>
    <w:rsid w:val="14305E5E"/>
    <w:rsid w:val="143F0797"/>
    <w:rsid w:val="14436C68"/>
    <w:rsid w:val="145853B5"/>
    <w:rsid w:val="149F012D"/>
    <w:rsid w:val="14B922F8"/>
    <w:rsid w:val="157048AE"/>
    <w:rsid w:val="157E709D"/>
    <w:rsid w:val="15B66F23"/>
    <w:rsid w:val="167F30CD"/>
    <w:rsid w:val="180953E3"/>
    <w:rsid w:val="1816671D"/>
    <w:rsid w:val="18B828C6"/>
    <w:rsid w:val="192E2B7A"/>
    <w:rsid w:val="193C34F7"/>
    <w:rsid w:val="19C45513"/>
    <w:rsid w:val="19D95497"/>
    <w:rsid w:val="19E60195"/>
    <w:rsid w:val="19EF056A"/>
    <w:rsid w:val="1A6B4FB8"/>
    <w:rsid w:val="1AB66A9D"/>
    <w:rsid w:val="1AE300CE"/>
    <w:rsid w:val="1B6F142F"/>
    <w:rsid w:val="1B8C131B"/>
    <w:rsid w:val="1BBB0703"/>
    <w:rsid w:val="1BC406C7"/>
    <w:rsid w:val="1C05535E"/>
    <w:rsid w:val="1C2501B7"/>
    <w:rsid w:val="1D1D0C15"/>
    <w:rsid w:val="1D2A2B43"/>
    <w:rsid w:val="1D474794"/>
    <w:rsid w:val="1DF3331F"/>
    <w:rsid w:val="1E2F42A6"/>
    <w:rsid w:val="1E4B1425"/>
    <w:rsid w:val="1E876A02"/>
    <w:rsid w:val="1E9D47F9"/>
    <w:rsid w:val="1EF62CDB"/>
    <w:rsid w:val="1F3E51EB"/>
    <w:rsid w:val="1F466ADB"/>
    <w:rsid w:val="1F5B3C3C"/>
    <w:rsid w:val="1F6F02CF"/>
    <w:rsid w:val="20004A19"/>
    <w:rsid w:val="202020C6"/>
    <w:rsid w:val="207F404F"/>
    <w:rsid w:val="2087003F"/>
    <w:rsid w:val="20CA763A"/>
    <w:rsid w:val="21073B7C"/>
    <w:rsid w:val="211441B8"/>
    <w:rsid w:val="211663DC"/>
    <w:rsid w:val="21A41827"/>
    <w:rsid w:val="22266AF2"/>
    <w:rsid w:val="22511DC1"/>
    <w:rsid w:val="22B365D8"/>
    <w:rsid w:val="22F954D8"/>
    <w:rsid w:val="230611F5"/>
    <w:rsid w:val="23EF4BFB"/>
    <w:rsid w:val="24520004"/>
    <w:rsid w:val="24C06D8A"/>
    <w:rsid w:val="24C1507A"/>
    <w:rsid w:val="24FD3B3B"/>
    <w:rsid w:val="250273A3"/>
    <w:rsid w:val="252B0453"/>
    <w:rsid w:val="25D4714E"/>
    <w:rsid w:val="25EA0D48"/>
    <w:rsid w:val="26235823"/>
    <w:rsid w:val="263317DE"/>
    <w:rsid w:val="26566D7F"/>
    <w:rsid w:val="266C66F5"/>
    <w:rsid w:val="26820A95"/>
    <w:rsid w:val="26B22917"/>
    <w:rsid w:val="26B54B82"/>
    <w:rsid w:val="27070CA1"/>
    <w:rsid w:val="27577E34"/>
    <w:rsid w:val="27770FCF"/>
    <w:rsid w:val="27C92EAF"/>
    <w:rsid w:val="27CA66CF"/>
    <w:rsid w:val="28094EEC"/>
    <w:rsid w:val="283227C4"/>
    <w:rsid w:val="28357A8F"/>
    <w:rsid w:val="28546167"/>
    <w:rsid w:val="28C572F6"/>
    <w:rsid w:val="28DA4817"/>
    <w:rsid w:val="29174CAD"/>
    <w:rsid w:val="29BB2216"/>
    <w:rsid w:val="29E16699"/>
    <w:rsid w:val="2A565288"/>
    <w:rsid w:val="2A7C4A33"/>
    <w:rsid w:val="2AC92DA6"/>
    <w:rsid w:val="2B3E028C"/>
    <w:rsid w:val="2B5E3D0F"/>
    <w:rsid w:val="2CA156F3"/>
    <w:rsid w:val="2CD969A7"/>
    <w:rsid w:val="2CDC2BCF"/>
    <w:rsid w:val="2D2D15D5"/>
    <w:rsid w:val="2D4F33A1"/>
    <w:rsid w:val="2D766C76"/>
    <w:rsid w:val="2DB15E0A"/>
    <w:rsid w:val="2E7563D2"/>
    <w:rsid w:val="2F4405B8"/>
    <w:rsid w:val="3060739D"/>
    <w:rsid w:val="306C5C5C"/>
    <w:rsid w:val="30C31AFC"/>
    <w:rsid w:val="30D07976"/>
    <w:rsid w:val="30D243D8"/>
    <w:rsid w:val="30EB7064"/>
    <w:rsid w:val="30ED7847"/>
    <w:rsid w:val="310E34C9"/>
    <w:rsid w:val="31220BE8"/>
    <w:rsid w:val="31A04D91"/>
    <w:rsid w:val="324A05DB"/>
    <w:rsid w:val="328976DF"/>
    <w:rsid w:val="329738FD"/>
    <w:rsid w:val="32E842D0"/>
    <w:rsid w:val="339C6C14"/>
    <w:rsid w:val="33EC194A"/>
    <w:rsid w:val="340D295B"/>
    <w:rsid w:val="341B55CA"/>
    <w:rsid w:val="342B793B"/>
    <w:rsid w:val="346B3592"/>
    <w:rsid w:val="34767B73"/>
    <w:rsid w:val="34B932F3"/>
    <w:rsid w:val="356F3FF1"/>
    <w:rsid w:val="36042604"/>
    <w:rsid w:val="36B02468"/>
    <w:rsid w:val="36E83F1F"/>
    <w:rsid w:val="372C4753"/>
    <w:rsid w:val="37373660"/>
    <w:rsid w:val="374C0952"/>
    <w:rsid w:val="378B147A"/>
    <w:rsid w:val="37D20E57"/>
    <w:rsid w:val="37E33064"/>
    <w:rsid w:val="37F963E3"/>
    <w:rsid w:val="388A28FE"/>
    <w:rsid w:val="389C3213"/>
    <w:rsid w:val="38B237BC"/>
    <w:rsid w:val="390810C8"/>
    <w:rsid w:val="39335925"/>
    <w:rsid w:val="39483E6E"/>
    <w:rsid w:val="3A3020F5"/>
    <w:rsid w:val="3A374528"/>
    <w:rsid w:val="3A706705"/>
    <w:rsid w:val="3A7E0E22"/>
    <w:rsid w:val="3B5347C9"/>
    <w:rsid w:val="3B576FDB"/>
    <w:rsid w:val="3BA33DE0"/>
    <w:rsid w:val="3BF71C7E"/>
    <w:rsid w:val="3C085441"/>
    <w:rsid w:val="3C4A2690"/>
    <w:rsid w:val="3C7A1ABD"/>
    <w:rsid w:val="3CFC0724"/>
    <w:rsid w:val="3D157871"/>
    <w:rsid w:val="3D3A56B1"/>
    <w:rsid w:val="3D523160"/>
    <w:rsid w:val="3DCB2EB8"/>
    <w:rsid w:val="3E0E767B"/>
    <w:rsid w:val="3E357197"/>
    <w:rsid w:val="3EAC4DE8"/>
    <w:rsid w:val="3F211237"/>
    <w:rsid w:val="3F7143B4"/>
    <w:rsid w:val="3FD54D5B"/>
    <w:rsid w:val="40D05DEC"/>
    <w:rsid w:val="40D8415D"/>
    <w:rsid w:val="40FE4A6B"/>
    <w:rsid w:val="41211039"/>
    <w:rsid w:val="41227118"/>
    <w:rsid w:val="412A2403"/>
    <w:rsid w:val="41611D03"/>
    <w:rsid w:val="4178623F"/>
    <w:rsid w:val="41CB4852"/>
    <w:rsid w:val="41EA1F44"/>
    <w:rsid w:val="42106160"/>
    <w:rsid w:val="42466B41"/>
    <w:rsid w:val="42784A35"/>
    <w:rsid w:val="42AD216D"/>
    <w:rsid w:val="42D3694C"/>
    <w:rsid w:val="436E1797"/>
    <w:rsid w:val="43BA4185"/>
    <w:rsid w:val="44894F93"/>
    <w:rsid w:val="44E23E60"/>
    <w:rsid w:val="455C2CBA"/>
    <w:rsid w:val="46340F2E"/>
    <w:rsid w:val="46377765"/>
    <w:rsid w:val="46756183"/>
    <w:rsid w:val="469D3E1E"/>
    <w:rsid w:val="47356B05"/>
    <w:rsid w:val="47C50090"/>
    <w:rsid w:val="47FB7F56"/>
    <w:rsid w:val="47FD322E"/>
    <w:rsid w:val="48294CD4"/>
    <w:rsid w:val="482C6EAF"/>
    <w:rsid w:val="4836121B"/>
    <w:rsid w:val="487321E2"/>
    <w:rsid w:val="489751D3"/>
    <w:rsid w:val="49362CCA"/>
    <w:rsid w:val="494C4797"/>
    <w:rsid w:val="49795388"/>
    <w:rsid w:val="49C5081B"/>
    <w:rsid w:val="4A2A1960"/>
    <w:rsid w:val="4A600544"/>
    <w:rsid w:val="4AA541A9"/>
    <w:rsid w:val="4AAC469A"/>
    <w:rsid w:val="4ABD14F2"/>
    <w:rsid w:val="4ADB7BCB"/>
    <w:rsid w:val="4B296B88"/>
    <w:rsid w:val="4B2A4975"/>
    <w:rsid w:val="4B967B65"/>
    <w:rsid w:val="4BE2003E"/>
    <w:rsid w:val="4BF83930"/>
    <w:rsid w:val="4BFD10CA"/>
    <w:rsid w:val="4C5E0AB3"/>
    <w:rsid w:val="4C8C73CE"/>
    <w:rsid w:val="4CB35983"/>
    <w:rsid w:val="4CF124D7"/>
    <w:rsid w:val="4D162A8A"/>
    <w:rsid w:val="4D3B2BA3"/>
    <w:rsid w:val="4E131240"/>
    <w:rsid w:val="4E524F7E"/>
    <w:rsid w:val="4E747792"/>
    <w:rsid w:val="4F0C3F06"/>
    <w:rsid w:val="504B57F2"/>
    <w:rsid w:val="507C59AC"/>
    <w:rsid w:val="50A373DC"/>
    <w:rsid w:val="512247A5"/>
    <w:rsid w:val="5270735F"/>
    <w:rsid w:val="52BE0A34"/>
    <w:rsid w:val="52FC4B82"/>
    <w:rsid w:val="53232D84"/>
    <w:rsid w:val="53324C1C"/>
    <w:rsid w:val="538F3C48"/>
    <w:rsid w:val="53AE4A47"/>
    <w:rsid w:val="53F127BF"/>
    <w:rsid w:val="53FB6A0A"/>
    <w:rsid w:val="53FC6842"/>
    <w:rsid w:val="545C1D7C"/>
    <w:rsid w:val="552B174F"/>
    <w:rsid w:val="55C36D69"/>
    <w:rsid w:val="55F432A9"/>
    <w:rsid w:val="56BC7955"/>
    <w:rsid w:val="573E39BB"/>
    <w:rsid w:val="57811DF5"/>
    <w:rsid w:val="57846616"/>
    <w:rsid w:val="57B123DF"/>
    <w:rsid w:val="582F270C"/>
    <w:rsid w:val="583F021F"/>
    <w:rsid w:val="5840348E"/>
    <w:rsid w:val="586424C3"/>
    <w:rsid w:val="5864418B"/>
    <w:rsid w:val="58964B3F"/>
    <w:rsid w:val="598F6769"/>
    <w:rsid w:val="59B27499"/>
    <w:rsid w:val="59C3105A"/>
    <w:rsid w:val="59FC76C2"/>
    <w:rsid w:val="5A201A9E"/>
    <w:rsid w:val="5A643739"/>
    <w:rsid w:val="5B466B83"/>
    <w:rsid w:val="5B920779"/>
    <w:rsid w:val="5BAD55B3"/>
    <w:rsid w:val="5BD32871"/>
    <w:rsid w:val="5C33526C"/>
    <w:rsid w:val="5C415306"/>
    <w:rsid w:val="5C4952DC"/>
    <w:rsid w:val="5C821C39"/>
    <w:rsid w:val="5CBA639F"/>
    <w:rsid w:val="5D5B555F"/>
    <w:rsid w:val="5D5E4DB7"/>
    <w:rsid w:val="5D6D1D90"/>
    <w:rsid w:val="5D743B46"/>
    <w:rsid w:val="5D814602"/>
    <w:rsid w:val="5E357F3D"/>
    <w:rsid w:val="5E36452D"/>
    <w:rsid w:val="5E3C3B35"/>
    <w:rsid w:val="5E604135"/>
    <w:rsid w:val="5E6A32E8"/>
    <w:rsid w:val="5E981990"/>
    <w:rsid w:val="5EE4753E"/>
    <w:rsid w:val="5F797481"/>
    <w:rsid w:val="5F8541E8"/>
    <w:rsid w:val="5F9A14D4"/>
    <w:rsid w:val="5FA6034F"/>
    <w:rsid w:val="5FC94FBF"/>
    <w:rsid w:val="614D3525"/>
    <w:rsid w:val="61642270"/>
    <w:rsid w:val="61F72F11"/>
    <w:rsid w:val="62326812"/>
    <w:rsid w:val="62416B14"/>
    <w:rsid w:val="6265459F"/>
    <w:rsid w:val="6288717E"/>
    <w:rsid w:val="62AC2121"/>
    <w:rsid w:val="62EE3704"/>
    <w:rsid w:val="62F87114"/>
    <w:rsid w:val="63060350"/>
    <w:rsid w:val="630B32EB"/>
    <w:rsid w:val="63527E14"/>
    <w:rsid w:val="637B06F1"/>
    <w:rsid w:val="63EB3D38"/>
    <w:rsid w:val="649801A4"/>
    <w:rsid w:val="64A635A7"/>
    <w:rsid w:val="64D36C5B"/>
    <w:rsid w:val="64FB2EEB"/>
    <w:rsid w:val="651D2E62"/>
    <w:rsid w:val="653F2763"/>
    <w:rsid w:val="6562740E"/>
    <w:rsid w:val="659155FE"/>
    <w:rsid w:val="66524D8D"/>
    <w:rsid w:val="66974E96"/>
    <w:rsid w:val="66DA6FA9"/>
    <w:rsid w:val="67337BBE"/>
    <w:rsid w:val="678334AE"/>
    <w:rsid w:val="67B74E5B"/>
    <w:rsid w:val="67E660D5"/>
    <w:rsid w:val="685079F2"/>
    <w:rsid w:val="685E5C6B"/>
    <w:rsid w:val="68AB3179"/>
    <w:rsid w:val="68CB7079"/>
    <w:rsid w:val="68CF6B69"/>
    <w:rsid w:val="69040B9F"/>
    <w:rsid w:val="69324B5A"/>
    <w:rsid w:val="693C3AD3"/>
    <w:rsid w:val="694C7035"/>
    <w:rsid w:val="6962178B"/>
    <w:rsid w:val="698E23DB"/>
    <w:rsid w:val="699B29EE"/>
    <w:rsid w:val="699E172F"/>
    <w:rsid w:val="69A0307E"/>
    <w:rsid w:val="6A2F274F"/>
    <w:rsid w:val="6A9C2A7B"/>
    <w:rsid w:val="6ACB3F3B"/>
    <w:rsid w:val="6B225C6E"/>
    <w:rsid w:val="6B994CA5"/>
    <w:rsid w:val="6C0B610A"/>
    <w:rsid w:val="6CB76B59"/>
    <w:rsid w:val="6CBF5146"/>
    <w:rsid w:val="6CC86402"/>
    <w:rsid w:val="6CCE3E43"/>
    <w:rsid w:val="6CD644A8"/>
    <w:rsid w:val="6CDA788A"/>
    <w:rsid w:val="6CE30E35"/>
    <w:rsid w:val="6D126E5C"/>
    <w:rsid w:val="6D4C3753"/>
    <w:rsid w:val="6D7B106D"/>
    <w:rsid w:val="6DA70313"/>
    <w:rsid w:val="6DED75F3"/>
    <w:rsid w:val="6E00355C"/>
    <w:rsid w:val="6E2A3BFD"/>
    <w:rsid w:val="6E8E0FE9"/>
    <w:rsid w:val="6EB4459D"/>
    <w:rsid w:val="6ECE341F"/>
    <w:rsid w:val="6EDA0016"/>
    <w:rsid w:val="6EF37304"/>
    <w:rsid w:val="6F377E2C"/>
    <w:rsid w:val="6F61390A"/>
    <w:rsid w:val="6F9C52EC"/>
    <w:rsid w:val="6FA47722"/>
    <w:rsid w:val="6FAD1286"/>
    <w:rsid w:val="6FB62831"/>
    <w:rsid w:val="70483DB6"/>
    <w:rsid w:val="70553E6A"/>
    <w:rsid w:val="707D0616"/>
    <w:rsid w:val="708B7F10"/>
    <w:rsid w:val="709F2BE9"/>
    <w:rsid w:val="70E671B6"/>
    <w:rsid w:val="70E76A1A"/>
    <w:rsid w:val="71393DD9"/>
    <w:rsid w:val="71410A3A"/>
    <w:rsid w:val="71434477"/>
    <w:rsid w:val="71D21478"/>
    <w:rsid w:val="72834520"/>
    <w:rsid w:val="72980857"/>
    <w:rsid w:val="72AD6E14"/>
    <w:rsid w:val="73050DB4"/>
    <w:rsid w:val="7315618E"/>
    <w:rsid w:val="73CD639B"/>
    <w:rsid w:val="73FF709F"/>
    <w:rsid w:val="743F7E03"/>
    <w:rsid w:val="745B5755"/>
    <w:rsid w:val="74893786"/>
    <w:rsid w:val="7589009F"/>
    <w:rsid w:val="75C15E43"/>
    <w:rsid w:val="76116A13"/>
    <w:rsid w:val="764D3566"/>
    <w:rsid w:val="76AB50C9"/>
    <w:rsid w:val="76F459ED"/>
    <w:rsid w:val="76FD2AF3"/>
    <w:rsid w:val="770976EA"/>
    <w:rsid w:val="771C16EB"/>
    <w:rsid w:val="772E441A"/>
    <w:rsid w:val="7735677E"/>
    <w:rsid w:val="77530965"/>
    <w:rsid w:val="779F3BAA"/>
    <w:rsid w:val="787119EB"/>
    <w:rsid w:val="788039DC"/>
    <w:rsid w:val="78CC3E6F"/>
    <w:rsid w:val="78D930EC"/>
    <w:rsid w:val="790143D0"/>
    <w:rsid w:val="79051CCA"/>
    <w:rsid w:val="793D7B1F"/>
    <w:rsid w:val="79437998"/>
    <w:rsid w:val="795135CA"/>
    <w:rsid w:val="7956298E"/>
    <w:rsid w:val="795D466E"/>
    <w:rsid w:val="79A947E8"/>
    <w:rsid w:val="79A96F62"/>
    <w:rsid w:val="7A296296"/>
    <w:rsid w:val="7A3D20FC"/>
    <w:rsid w:val="7A6D4434"/>
    <w:rsid w:val="7A951E50"/>
    <w:rsid w:val="7AC322A6"/>
    <w:rsid w:val="7AE24CA4"/>
    <w:rsid w:val="7AF03879"/>
    <w:rsid w:val="7AF63064"/>
    <w:rsid w:val="7B1776F5"/>
    <w:rsid w:val="7BA70053"/>
    <w:rsid w:val="7BDB78F5"/>
    <w:rsid w:val="7C1F250F"/>
    <w:rsid w:val="7C482A62"/>
    <w:rsid w:val="7CE01264"/>
    <w:rsid w:val="7D0A747D"/>
    <w:rsid w:val="7D19778A"/>
    <w:rsid w:val="7D370290"/>
    <w:rsid w:val="7D9046C1"/>
    <w:rsid w:val="7D923AA4"/>
    <w:rsid w:val="7E265485"/>
    <w:rsid w:val="7E5E47BF"/>
    <w:rsid w:val="7EAD12A3"/>
    <w:rsid w:val="7F2F1CB8"/>
    <w:rsid w:val="7FB0104A"/>
    <w:rsid w:val="7FD10FC1"/>
    <w:rsid w:val="7FD400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iPriority="99" w:name="Body Text First Indent"/>
    <w:lsdException w:qFormat="1"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22" w:semiHidden="0" w:name="Strong"/>
    <w:lsdException w:qFormat="1" w:unhideWhenUsed="0" w:uiPriority="0" w:semiHidden="0" w:name="Emphasis"/>
    <w:lsdException w:qFormat="1"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43"/>
    <w:qFormat/>
    <w:uiPriority w:val="0"/>
    <w:pPr>
      <w:keepNext/>
      <w:keepLines/>
      <w:widowControl w:val="0"/>
      <w:adjustRightInd w:val="0"/>
      <w:snapToGrid w:val="0"/>
      <w:spacing w:line="360" w:lineRule="auto"/>
      <w:ind w:firstLine="560" w:firstLineChars="200"/>
      <w:jc w:val="both"/>
      <w:outlineLvl w:val="0"/>
    </w:pPr>
    <w:rPr>
      <w:rFonts w:ascii="Times New Roman" w:hAnsi="Times New Roman" w:cs="Times New Roman"/>
      <w:b/>
      <w:bCs/>
      <w:kern w:val="44"/>
      <w:sz w:val="20"/>
      <w:szCs w:val="44"/>
    </w:rPr>
  </w:style>
  <w:style w:type="paragraph" w:styleId="3">
    <w:name w:val="heading 2"/>
    <w:basedOn w:val="1"/>
    <w:next w:val="1"/>
    <w:link w:val="44"/>
    <w:qFormat/>
    <w:uiPriority w:val="0"/>
    <w:pPr>
      <w:keepNext/>
      <w:keepLines/>
      <w:pageBreakBefore/>
      <w:widowControl w:val="0"/>
      <w:adjustRightInd w:val="0"/>
      <w:snapToGrid w:val="0"/>
      <w:spacing w:line="360" w:lineRule="auto"/>
      <w:jc w:val="both"/>
      <w:outlineLvl w:val="1"/>
    </w:pPr>
    <w:rPr>
      <w:rFonts w:ascii="Arial" w:hAnsi="Arial" w:cs="Times New Roman"/>
      <w:b/>
      <w:bCs/>
      <w:kern w:val="2"/>
      <w:sz w:val="32"/>
      <w:szCs w:val="32"/>
    </w:rPr>
  </w:style>
  <w:style w:type="paragraph" w:styleId="4">
    <w:name w:val="heading 3"/>
    <w:basedOn w:val="1"/>
    <w:next w:val="5"/>
    <w:link w:val="85"/>
    <w:qFormat/>
    <w:uiPriority w:val="0"/>
    <w:pPr>
      <w:keepNext/>
      <w:keepLines/>
      <w:widowControl w:val="0"/>
      <w:wordWrap w:val="0"/>
      <w:adjustRightInd w:val="0"/>
      <w:spacing w:line="360" w:lineRule="auto"/>
      <w:ind w:firstLine="482" w:firstLineChars="200"/>
      <w:jc w:val="both"/>
      <w:outlineLvl w:val="2"/>
    </w:pPr>
    <w:rPr>
      <w:rFonts w:ascii="Times New Roman" w:hAnsi="Times New Roman" w:cs="Times New Roman"/>
      <w:b/>
      <w:bCs/>
      <w:kern w:val="2"/>
    </w:rPr>
  </w:style>
  <w:style w:type="paragraph" w:styleId="6">
    <w:name w:val="heading 4"/>
    <w:basedOn w:val="1"/>
    <w:next w:val="1"/>
    <w:link w:val="45"/>
    <w:autoRedefine/>
    <w:qFormat/>
    <w:uiPriority w:val="0"/>
    <w:pPr>
      <w:keepNext/>
      <w:keepLines/>
      <w:widowControl w:val="0"/>
      <w:adjustRightInd w:val="0"/>
      <w:snapToGrid w:val="0"/>
      <w:spacing w:before="280" w:after="290" w:line="376" w:lineRule="auto"/>
      <w:ind w:firstLine="560" w:firstLineChars="200"/>
      <w:jc w:val="both"/>
      <w:outlineLvl w:val="3"/>
    </w:pPr>
    <w:rPr>
      <w:rFonts w:ascii="等线 Light" w:hAnsi="等线 Light" w:eastAsia="等线 Light" w:cs="Times New Roman"/>
      <w:b/>
      <w:bCs/>
      <w:kern w:val="2"/>
      <w:sz w:val="28"/>
      <w:szCs w:val="28"/>
    </w:rPr>
  </w:style>
  <w:style w:type="paragraph" w:styleId="7">
    <w:name w:val="heading 5"/>
    <w:basedOn w:val="1"/>
    <w:next w:val="1"/>
    <w:link w:val="46"/>
    <w:autoRedefine/>
    <w:qFormat/>
    <w:uiPriority w:val="0"/>
    <w:pPr>
      <w:keepNext/>
      <w:keepLines/>
      <w:widowControl w:val="0"/>
      <w:adjustRightInd w:val="0"/>
      <w:snapToGrid w:val="0"/>
      <w:spacing w:before="280" w:after="290" w:line="376" w:lineRule="auto"/>
      <w:ind w:firstLine="560" w:firstLineChars="200"/>
      <w:jc w:val="both"/>
      <w:outlineLvl w:val="4"/>
    </w:pPr>
    <w:rPr>
      <w:rFonts w:ascii="Times New Roman" w:hAnsi="Times New Roman" w:cs="Times New Roman"/>
      <w:b/>
      <w:bCs/>
      <w:kern w:val="2"/>
      <w:sz w:val="28"/>
      <w:szCs w:val="28"/>
    </w:rPr>
  </w:style>
  <w:style w:type="paragraph" w:styleId="8">
    <w:name w:val="heading 7"/>
    <w:basedOn w:val="1"/>
    <w:next w:val="1"/>
    <w:link w:val="74"/>
    <w:autoRedefine/>
    <w:semiHidden/>
    <w:unhideWhenUsed/>
    <w:qFormat/>
    <w:uiPriority w:val="0"/>
    <w:pPr>
      <w:keepNext/>
      <w:keepLines/>
      <w:widowControl w:val="0"/>
      <w:adjustRightInd w:val="0"/>
      <w:snapToGrid w:val="0"/>
      <w:spacing w:before="240" w:after="64" w:line="320" w:lineRule="auto"/>
      <w:ind w:firstLine="560" w:firstLineChars="200"/>
      <w:jc w:val="both"/>
      <w:outlineLvl w:val="6"/>
    </w:pPr>
    <w:rPr>
      <w:rFonts w:ascii="Times New Roman" w:hAnsi="Times New Roman" w:cs="Times New Roman"/>
      <w:b/>
      <w:bCs/>
      <w:kern w:val="2"/>
    </w:rPr>
  </w:style>
  <w:style w:type="paragraph" w:styleId="9">
    <w:name w:val="heading 8"/>
    <w:basedOn w:val="1"/>
    <w:next w:val="1"/>
    <w:link w:val="47"/>
    <w:autoRedefine/>
    <w:semiHidden/>
    <w:unhideWhenUsed/>
    <w:qFormat/>
    <w:uiPriority w:val="0"/>
    <w:pPr>
      <w:keepNext/>
      <w:keepLines/>
      <w:widowControl w:val="0"/>
      <w:adjustRightInd w:val="0"/>
      <w:snapToGrid w:val="0"/>
      <w:spacing w:before="240" w:after="64" w:line="320" w:lineRule="auto"/>
      <w:ind w:firstLine="560" w:firstLineChars="200"/>
      <w:jc w:val="both"/>
      <w:outlineLvl w:val="7"/>
    </w:pPr>
    <w:rPr>
      <w:rFonts w:asciiTheme="majorHAnsi" w:hAnsiTheme="majorHAnsi" w:eastAsiaTheme="majorEastAsia" w:cstheme="majorBidi"/>
      <w:kern w:val="2"/>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widowControl w:val="0"/>
      <w:adjustRightInd w:val="0"/>
      <w:snapToGrid w:val="0"/>
      <w:spacing w:line="360" w:lineRule="auto"/>
      <w:ind w:firstLine="420" w:firstLineChars="200"/>
      <w:jc w:val="both"/>
    </w:pPr>
    <w:rPr>
      <w:rFonts w:ascii="Times New Roman" w:hAnsi="Times New Roman" w:cs="Times New Roman"/>
      <w:kern w:val="2"/>
      <w:sz w:val="21"/>
    </w:rPr>
  </w:style>
  <w:style w:type="paragraph" w:styleId="10">
    <w:name w:val="toc 7"/>
    <w:basedOn w:val="1"/>
    <w:next w:val="1"/>
    <w:autoRedefine/>
    <w:unhideWhenUsed/>
    <w:qFormat/>
    <w:uiPriority w:val="39"/>
    <w:pPr>
      <w:widowControl w:val="0"/>
      <w:ind w:left="2520" w:leftChars="1200"/>
      <w:jc w:val="both"/>
    </w:pPr>
    <w:rPr>
      <w:rFonts w:asciiTheme="minorHAnsi" w:hAnsiTheme="minorHAnsi" w:eastAsiaTheme="minorEastAsia" w:cstheme="minorBidi"/>
      <w:kern w:val="2"/>
      <w:sz w:val="21"/>
      <w:szCs w:val="22"/>
    </w:rPr>
  </w:style>
  <w:style w:type="paragraph" w:styleId="11">
    <w:name w:val="Document Map"/>
    <w:basedOn w:val="1"/>
    <w:link w:val="69"/>
    <w:autoRedefine/>
    <w:semiHidden/>
    <w:unhideWhenUsed/>
    <w:qFormat/>
    <w:uiPriority w:val="0"/>
    <w:pPr>
      <w:widowControl w:val="0"/>
      <w:adjustRightInd w:val="0"/>
      <w:snapToGrid w:val="0"/>
      <w:spacing w:line="360" w:lineRule="auto"/>
      <w:ind w:firstLine="560" w:firstLineChars="200"/>
      <w:jc w:val="both"/>
    </w:pPr>
    <w:rPr>
      <w:rFonts w:hAnsi="Times New Roman" w:cs="Times New Roman"/>
      <w:kern w:val="2"/>
      <w:sz w:val="18"/>
      <w:szCs w:val="18"/>
    </w:rPr>
  </w:style>
  <w:style w:type="paragraph" w:styleId="12">
    <w:name w:val="annotation text"/>
    <w:basedOn w:val="1"/>
    <w:link w:val="48"/>
    <w:autoRedefine/>
    <w:qFormat/>
    <w:uiPriority w:val="0"/>
    <w:pPr>
      <w:widowControl w:val="0"/>
      <w:adjustRightInd w:val="0"/>
      <w:snapToGrid w:val="0"/>
      <w:spacing w:line="360" w:lineRule="auto"/>
      <w:ind w:firstLine="560" w:firstLineChars="200"/>
    </w:pPr>
    <w:rPr>
      <w:rFonts w:ascii="Times New Roman" w:hAnsi="Times New Roman" w:cs="Times New Roman"/>
      <w:kern w:val="2"/>
      <w:sz w:val="21"/>
    </w:rPr>
  </w:style>
  <w:style w:type="paragraph" w:styleId="13">
    <w:name w:val="Body Text 3"/>
    <w:basedOn w:val="1"/>
    <w:link w:val="49"/>
    <w:autoRedefine/>
    <w:qFormat/>
    <w:uiPriority w:val="0"/>
    <w:pPr>
      <w:widowControl w:val="0"/>
      <w:adjustRightInd w:val="0"/>
      <w:snapToGrid w:val="0"/>
      <w:spacing w:line="360" w:lineRule="auto"/>
      <w:ind w:firstLine="560" w:firstLineChars="200"/>
      <w:jc w:val="both"/>
    </w:pPr>
    <w:rPr>
      <w:rFonts w:hAnsi="Times New Roman" w:cs="Times New Roman"/>
      <w:kern w:val="2"/>
      <w:szCs w:val="20"/>
    </w:rPr>
  </w:style>
  <w:style w:type="paragraph" w:styleId="14">
    <w:name w:val="Body Text"/>
    <w:basedOn w:val="1"/>
    <w:link w:val="76"/>
    <w:autoRedefine/>
    <w:qFormat/>
    <w:uiPriority w:val="0"/>
    <w:pPr>
      <w:widowControl w:val="0"/>
      <w:adjustRightInd w:val="0"/>
      <w:snapToGrid w:val="0"/>
      <w:spacing w:after="120" w:line="360" w:lineRule="auto"/>
      <w:ind w:firstLine="560" w:firstLineChars="200"/>
      <w:jc w:val="both"/>
    </w:pPr>
    <w:rPr>
      <w:rFonts w:ascii="Times New Roman" w:hAnsi="Times New Roman" w:cs="Times New Roman"/>
      <w:kern w:val="2"/>
      <w:sz w:val="21"/>
    </w:rPr>
  </w:style>
  <w:style w:type="paragraph" w:styleId="15">
    <w:name w:val="Body Text Indent"/>
    <w:basedOn w:val="1"/>
    <w:link w:val="41"/>
    <w:autoRedefine/>
    <w:qFormat/>
    <w:uiPriority w:val="0"/>
    <w:pPr>
      <w:widowControl w:val="0"/>
      <w:adjustRightInd w:val="0"/>
      <w:snapToGrid w:val="0"/>
      <w:spacing w:after="120" w:line="360" w:lineRule="auto"/>
      <w:ind w:left="420" w:leftChars="200" w:firstLine="560" w:firstLineChars="200"/>
      <w:jc w:val="both"/>
    </w:pPr>
    <w:rPr>
      <w:rFonts w:ascii="Times New Roman" w:hAnsi="Times New Roman" w:cs="Times New Roman"/>
      <w:kern w:val="2"/>
      <w:sz w:val="21"/>
    </w:rPr>
  </w:style>
  <w:style w:type="paragraph" w:styleId="16">
    <w:name w:val="toc 5"/>
    <w:basedOn w:val="1"/>
    <w:next w:val="1"/>
    <w:autoRedefine/>
    <w:unhideWhenUsed/>
    <w:qFormat/>
    <w:uiPriority w:val="39"/>
    <w:pPr>
      <w:widowControl w:val="0"/>
      <w:ind w:left="1680" w:leftChars="800"/>
      <w:jc w:val="both"/>
    </w:pPr>
    <w:rPr>
      <w:rFonts w:asciiTheme="minorHAnsi" w:hAnsiTheme="minorHAnsi" w:eastAsiaTheme="minorEastAsia" w:cstheme="minorBidi"/>
      <w:kern w:val="2"/>
      <w:sz w:val="21"/>
      <w:szCs w:val="22"/>
    </w:rPr>
  </w:style>
  <w:style w:type="paragraph" w:styleId="17">
    <w:name w:val="toc 3"/>
    <w:basedOn w:val="1"/>
    <w:next w:val="1"/>
    <w:autoRedefine/>
    <w:qFormat/>
    <w:uiPriority w:val="39"/>
    <w:pPr>
      <w:widowControl w:val="0"/>
      <w:adjustRightInd w:val="0"/>
      <w:snapToGrid w:val="0"/>
      <w:spacing w:line="360" w:lineRule="auto"/>
      <w:ind w:left="420" w:firstLine="560" w:firstLineChars="200"/>
    </w:pPr>
    <w:rPr>
      <w:rFonts w:ascii="Times New Roman" w:hAnsi="Times New Roman" w:cs="Times New Roman"/>
      <w:i/>
      <w:iCs/>
      <w:kern w:val="2"/>
      <w:sz w:val="20"/>
      <w:szCs w:val="20"/>
    </w:rPr>
  </w:style>
  <w:style w:type="paragraph" w:styleId="18">
    <w:name w:val="Plain Text"/>
    <w:basedOn w:val="1"/>
    <w:link w:val="68"/>
    <w:autoRedefine/>
    <w:qFormat/>
    <w:uiPriority w:val="0"/>
    <w:pPr>
      <w:widowControl w:val="0"/>
      <w:jc w:val="both"/>
    </w:pPr>
    <w:rPr>
      <w:rFonts w:cs="Courier New"/>
      <w:color w:val="000000"/>
      <w:sz w:val="20"/>
      <w:szCs w:val="20"/>
    </w:rPr>
  </w:style>
  <w:style w:type="paragraph" w:styleId="19">
    <w:name w:val="toc 8"/>
    <w:basedOn w:val="1"/>
    <w:next w:val="1"/>
    <w:autoRedefine/>
    <w:unhideWhenUsed/>
    <w:qFormat/>
    <w:uiPriority w:val="39"/>
    <w:pPr>
      <w:widowControl w:val="0"/>
      <w:ind w:left="2940" w:leftChars="1400"/>
      <w:jc w:val="both"/>
    </w:pPr>
    <w:rPr>
      <w:rFonts w:asciiTheme="minorHAnsi" w:hAnsiTheme="minorHAnsi" w:eastAsiaTheme="minorEastAsia" w:cstheme="minorBidi"/>
      <w:kern w:val="2"/>
      <w:sz w:val="21"/>
      <w:szCs w:val="22"/>
    </w:rPr>
  </w:style>
  <w:style w:type="paragraph" w:styleId="20">
    <w:name w:val="Date"/>
    <w:basedOn w:val="1"/>
    <w:next w:val="1"/>
    <w:link w:val="71"/>
    <w:autoRedefine/>
    <w:qFormat/>
    <w:uiPriority w:val="0"/>
    <w:pPr>
      <w:widowControl w:val="0"/>
      <w:adjustRightInd w:val="0"/>
      <w:snapToGrid w:val="0"/>
      <w:spacing w:line="360" w:lineRule="auto"/>
      <w:ind w:left="100" w:leftChars="2500" w:firstLine="560" w:firstLineChars="200"/>
      <w:jc w:val="both"/>
    </w:pPr>
    <w:rPr>
      <w:rFonts w:ascii="Times New Roman" w:hAnsi="Times New Roman" w:cs="Times New Roman"/>
      <w:kern w:val="2"/>
      <w:sz w:val="21"/>
    </w:rPr>
  </w:style>
  <w:style w:type="paragraph" w:styleId="21">
    <w:name w:val="Balloon Text"/>
    <w:basedOn w:val="1"/>
    <w:link w:val="50"/>
    <w:autoRedefine/>
    <w:qFormat/>
    <w:uiPriority w:val="0"/>
    <w:pPr>
      <w:widowControl w:val="0"/>
      <w:adjustRightInd w:val="0"/>
      <w:snapToGrid w:val="0"/>
      <w:ind w:firstLine="560" w:firstLineChars="200"/>
      <w:jc w:val="both"/>
    </w:pPr>
    <w:rPr>
      <w:rFonts w:ascii="Times New Roman" w:hAnsi="Times New Roman" w:cs="Times New Roman"/>
      <w:kern w:val="2"/>
      <w:sz w:val="18"/>
      <w:szCs w:val="18"/>
    </w:rPr>
  </w:style>
  <w:style w:type="paragraph" w:styleId="22">
    <w:name w:val="footer"/>
    <w:basedOn w:val="1"/>
    <w:link w:val="51"/>
    <w:autoRedefine/>
    <w:qFormat/>
    <w:uiPriority w:val="99"/>
    <w:pPr>
      <w:widowControl w:val="0"/>
      <w:tabs>
        <w:tab w:val="center" w:pos="4153"/>
        <w:tab w:val="right" w:pos="8306"/>
      </w:tabs>
      <w:adjustRightInd w:val="0"/>
      <w:snapToGrid w:val="0"/>
      <w:spacing w:line="360" w:lineRule="auto"/>
      <w:ind w:firstLine="560" w:firstLineChars="200"/>
    </w:pPr>
    <w:rPr>
      <w:rFonts w:ascii="Times New Roman" w:hAnsi="Times New Roman" w:cs="Times New Roman"/>
      <w:kern w:val="2"/>
      <w:sz w:val="18"/>
      <w:szCs w:val="18"/>
    </w:rPr>
  </w:style>
  <w:style w:type="paragraph" w:styleId="23">
    <w:name w:val="header"/>
    <w:basedOn w:val="1"/>
    <w:link w:val="52"/>
    <w:autoRedefine/>
    <w:qFormat/>
    <w:uiPriority w:val="0"/>
    <w:pPr>
      <w:widowControl w:val="0"/>
      <w:pBdr>
        <w:bottom w:val="single" w:color="auto" w:sz="6" w:space="1"/>
      </w:pBdr>
      <w:tabs>
        <w:tab w:val="center" w:pos="4153"/>
        <w:tab w:val="right" w:pos="8306"/>
      </w:tabs>
      <w:adjustRightInd w:val="0"/>
      <w:snapToGrid w:val="0"/>
      <w:spacing w:line="360" w:lineRule="auto"/>
      <w:ind w:firstLine="560" w:firstLineChars="200"/>
      <w:jc w:val="center"/>
    </w:pPr>
    <w:rPr>
      <w:rFonts w:ascii="Times New Roman" w:hAnsi="Times New Roman" w:cs="Times New Roman"/>
      <w:kern w:val="2"/>
      <w:sz w:val="18"/>
      <w:szCs w:val="18"/>
    </w:rPr>
  </w:style>
  <w:style w:type="paragraph" w:styleId="24">
    <w:name w:val="toc 1"/>
    <w:basedOn w:val="1"/>
    <w:next w:val="1"/>
    <w:autoRedefine/>
    <w:qFormat/>
    <w:uiPriority w:val="39"/>
    <w:pPr>
      <w:widowControl w:val="0"/>
      <w:adjustRightInd w:val="0"/>
      <w:snapToGrid w:val="0"/>
      <w:spacing w:before="120" w:after="120" w:line="360" w:lineRule="auto"/>
      <w:ind w:firstLine="560" w:firstLineChars="200"/>
    </w:pPr>
    <w:rPr>
      <w:rFonts w:ascii="Times New Roman" w:hAnsi="Times New Roman" w:cs="Times New Roman"/>
      <w:b/>
      <w:bCs/>
      <w:caps/>
      <w:kern w:val="2"/>
      <w:sz w:val="20"/>
      <w:szCs w:val="20"/>
    </w:rPr>
  </w:style>
  <w:style w:type="paragraph" w:styleId="25">
    <w:name w:val="toc 4"/>
    <w:basedOn w:val="1"/>
    <w:next w:val="1"/>
    <w:autoRedefine/>
    <w:unhideWhenUsed/>
    <w:qFormat/>
    <w:uiPriority w:val="39"/>
    <w:pPr>
      <w:widowControl w:val="0"/>
      <w:ind w:left="1260" w:leftChars="600"/>
      <w:jc w:val="both"/>
    </w:pPr>
    <w:rPr>
      <w:rFonts w:asciiTheme="minorHAnsi" w:hAnsiTheme="minorHAnsi" w:eastAsiaTheme="minorEastAsia" w:cstheme="minorBidi"/>
      <w:kern w:val="2"/>
      <w:sz w:val="21"/>
      <w:szCs w:val="22"/>
    </w:rPr>
  </w:style>
  <w:style w:type="paragraph" w:styleId="26">
    <w:name w:val="toc 6"/>
    <w:basedOn w:val="1"/>
    <w:next w:val="1"/>
    <w:autoRedefine/>
    <w:unhideWhenUsed/>
    <w:qFormat/>
    <w:uiPriority w:val="39"/>
    <w:pPr>
      <w:widowControl w:val="0"/>
      <w:ind w:left="2100" w:leftChars="1000"/>
      <w:jc w:val="both"/>
    </w:pPr>
    <w:rPr>
      <w:rFonts w:asciiTheme="minorHAnsi" w:hAnsiTheme="minorHAnsi" w:eastAsiaTheme="minorEastAsia" w:cstheme="minorBidi"/>
      <w:kern w:val="2"/>
      <w:sz w:val="21"/>
      <w:szCs w:val="22"/>
    </w:rPr>
  </w:style>
  <w:style w:type="paragraph" w:styleId="27">
    <w:name w:val="toc 2"/>
    <w:basedOn w:val="1"/>
    <w:next w:val="1"/>
    <w:link w:val="53"/>
    <w:autoRedefine/>
    <w:qFormat/>
    <w:uiPriority w:val="39"/>
    <w:pPr>
      <w:widowControl w:val="0"/>
      <w:adjustRightInd w:val="0"/>
      <w:snapToGrid w:val="0"/>
      <w:spacing w:line="360" w:lineRule="auto"/>
      <w:ind w:left="210" w:firstLine="560" w:firstLineChars="200"/>
    </w:pPr>
    <w:rPr>
      <w:rFonts w:ascii="Times New Roman" w:hAnsi="Times New Roman" w:cs="Times New Roman"/>
      <w:smallCaps/>
      <w:kern w:val="2"/>
      <w:sz w:val="20"/>
      <w:szCs w:val="20"/>
    </w:rPr>
  </w:style>
  <w:style w:type="paragraph" w:styleId="28">
    <w:name w:val="toc 9"/>
    <w:basedOn w:val="1"/>
    <w:next w:val="1"/>
    <w:autoRedefine/>
    <w:unhideWhenUsed/>
    <w:qFormat/>
    <w:uiPriority w:val="39"/>
    <w:pPr>
      <w:widowControl w:val="0"/>
      <w:ind w:left="3360" w:leftChars="1600"/>
      <w:jc w:val="both"/>
    </w:pPr>
    <w:rPr>
      <w:rFonts w:asciiTheme="minorHAnsi" w:hAnsiTheme="minorHAnsi" w:eastAsiaTheme="minorEastAsia" w:cstheme="minorBidi"/>
      <w:kern w:val="2"/>
      <w:sz w:val="21"/>
      <w:szCs w:val="22"/>
    </w:rPr>
  </w:style>
  <w:style w:type="paragraph" w:styleId="29">
    <w:name w:val="Normal (Web)"/>
    <w:basedOn w:val="1"/>
    <w:autoRedefine/>
    <w:qFormat/>
    <w:uiPriority w:val="99"/>
    <w:pPr>
      <w:spacing w:before="100" w:beforeAutospacing="1" w:after="100" w:afterAutospacing="1"/>
    </w:pPr>
  </w:style>
  <w:style w:type="paragraph" w:styleId="30">
    <w:name w:val="Title"/>
    <w:basedOn w:val="1"/>
    <w:next w:val="1"/>
    <w:link w:val="73"/>
    <w:autoRedefine/>
    <w:qFormat/>
    <w:uiPriority w:val="0"/>
    <w:pPr>
      <w:widowControl w:val="0"/>
      <w:spacing w:before="240" w:after="60"/>
      <w:jc w:val="center"/>
      <w:outlineLvl w:val="0"/>
    </w:pPr>
    <w:rPr>
      <w:rFonts w:ascii="Cambria" w:hAnsi="Cambria" w:cs="Times New Roman"/>
      <w:b/>
      <w:bCs/>
      <w:kern w:val="2"/>
      <w:sz w:val="32"/>
      <w:szCs w:val="32"/>
    </w:rPr>
  </w:style>
  <w:style w:type="paragraph" w:styleId="31">
    <w:name w:val="annotation subject"/>
    <w:basedOn w:val="12"/>
    <w:next w:val="12"/>
    <w:link w:val="54"/>
    <w:autoRedefine/>
    <w:qFormat/>
    <w:uiPriority w:val="0"/>
    <w:rPr>
      <w:b/>
      <w:bCs/>
    </w:rPr>
  </w:style>
  <w:style w:type="paragraph" w:styleId="32">
    <w:name w:val="Body Text First Indent"/>
    <w:basedOn w:val="14"/>
    <w:link w:val="77"/>
    <w:autoRedefine/>
    <w:semiHidden/>
    <w:unhideWhenUsed/>
    <w:qFormat/>
    <w:uiPriority w:val="99"/>
    <w:pPr>
      <w:adjustRightInd/>
      <w:snapToGrid/>
      <w:spacing w:line="240" w:lineRule="auto"/>
      <w:ind w:firstLine="420" w:firstLineChars="100"/>
    </w:pPr>
    <w:rPr>
      <w:szCs w:val="20"/>
    </w:rPr>
  </w:style>
  <w:style w:type="table" w:styleId="34">
    <w:name w:val="Table Grid"/>
    <w:basedOn w:val="3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qFormat/>
    <w:uiPriority w:val="22"/>
    <w:rPr>
      <w:b/>
      <w:bCs/>
    </w:rPr>
  </w:style>
  <w:style w:type="character" w:styleId="37">
    <w:name w:val="page number"/>
    <w:basedOn w:val="35"/>
    <w:autoRedefine/>
    <w:qFormat/>
    <w:uiPriority w:val="0"/>
  </w:style>
  <w:style w:type="character" w:styleId="38">
    <w:name w:val="Hyperlink"/>
    <w:autoRedefine/>
    <w:unhideWhenUsed/>
    <w:qFormat/>
    <w:uiPriority w:val="99"/>
    <w:rPr>
      <w:rFonts w:ascii="Times New Roman" w:hAnsi="Times New Roman" w:eastAsia="宋体"/>
      <w:color w:val="0563C1"/>
      <w:u w:val="single"/>
    </w:rPr>
  </w:style>
  <w:style w:type="character" w:styleId="39">
    <w:name w:val="annotation reference"/>
    <w:autoRedefine/>
    <w:qFormat/>
    <w:uiPriority w:val="0"/>
    <w:rPr>
      <w:sz w:val="21"/>
      <w:szCs w:val="21"/>
    </w:rPr>
  </w:style>
  <w:style w:type="paragraph" w:customStyle="1" w:styleId="40">
    <w:name w:val="正文文本首行缩进 21"/>
    <w:basedOn w:val="15"/>
    <w:link w:val="42"/>
    <w:qFormat/>
    <w:uiPriority w:val="0"/>
    <w:pPr>
      <w:ind w:left="0" w:leftChars="0" w:firstLine="0" w:firstLineChars="0"/>
      <w:jc w:val="center"/>
    </w:pPr>
  </w:style>
  <w:style w:type="character" w:customStyle="1" w:styleId="41">
    <w:name w:val="正文文本缩进 字符"/>
    <w:basedOn w:val="35"/>
    <w:link w:val="15"/>
    <w:autoRedefine/>
    <w:qFormat/>
    <w:uiPriority w:val="0"/>
    <w:rPr>
      <w:kern w:val="2"/>
      <w:sz w:val="21"/>
      <w:szCs w:val="24"/>
    </w:rPr>
  </w:style>
  <w:style w:type="character" w:customStyle="1" w:styleId="42">
    <w:name w:val="正文文本首行缩进 2 字符"/>
    <w:link w:val="40"/>
    <w:autoRedefine/>
    <w:qFormat/>
    <w:uiPriority w:val="0"/>
    <w:rPr>
      <w:kern w:val="2"/>
      <w:sz w:val="21"/>
      <w:szCs w:val="24"/>
    </w:rPr>
  </w:style>
  <w:style w:type="character" w:customStyle="1" w:styleId="43">
    <w:name w:val="标题 1 字符"/>
    <w:link w:val="2"/>
    <w:autoRedefine/>
    <w:qFormat/>
    <w:uiPriority w:val="0"/>
    <w:rPr>
      <w:b/>
      <w:bCs/>
      <w:kern w:val="44"/>
      <w:szCs w:val="44"/>
    </w:rPr>
  </w:style>
  <w:style w:type="character" w:customStyle="1" w:styleId="44">
    <w:name w:val="标题 2 字符"/>
    <w:link w:val="3"/>
    <w:autoRedefine/>
    <w:qFormat/>
    <w:uiPriority w:val="0"/>
    <w:rPr>
      <w:rFonts w:ascii="Arial" w:hAnsi="Arial"/>
      <w:b/>
      <w:bCs/>
      <w:kern w:val="2"/>
      <w:sz w:val="32"/>
      <w:szCs w:val="32"/>
    </w:rPr>
  </w:style>
  <w:style w:type="character" w:customStyle="1" w:styleId="45">
    <w:name w:val="标题 4 字符"/>
    <w:link w:val="6"/>
    <w:autoRedefine/>
    <w:qFormat/>
    <w:uiPriority w:val="0"/>
    <w:rPr>
      <w:rFonts w:ascii="等线 Light" w:hAnsi="等线 Light" w:eastAsia="等线 Light" w:cs="Times New Roman"/>
      <w:b/>
      <w:bCs/>
      <w:kern w:val="2"/>
      <w:sz w:val="28"/>
      <w:szCs w:val="28"/>
    </w:rPr>
  </w:style>
  <w:style w:type="character" w:customStyle="1" w:styleId="46">
    <w:name w:val="标题 5 字符"/>
    <w:link w:val="7"/>
    <w:autoRedefine/>
    <w:qFormat/>
    <w:uiPriority w:val="0"/>
    <w:rPr>
      <w:rFonts w:ascii="Times New Roman" w:hAnsi="Times New Roman"/>
      <w:b/>
      <w:bCs/>
      <w:kern w:val="2"/>
      <w:sz w:val="28"/>
      <w:szCs w:val="28"/>
    </w:rPr>
  </w:style>
  <w:style w:type="character" w:customStyle="1" w:styleId="47">
    <w:name w:val="标题 8 字符"/>
    <w:basedOn w:val="35"/>
    <w:link w:val="9"/>
    <w:autoRedefine/>
    <w:qFormat/>
    <w:uiPriority w:val="0"/>
    <w:rPr>
      <w:rFonts w:asciiTheme="majorHAnsi" w:hAnsiTheme="majorHAnsi" w:eastAsiaTheme="majorEastAsia" w:cstheme="majorBidi"/>
      <w:kern w:val="2"/>
      <w:sz w:val="24"/>
      <w:szCs w:val="24"/>
    </w:rPr>
  </w:style>
  <w:style w:type="character" w:customStyle="1" w:styleId="48">
    <w:name w:val="批注文字 字符"/>
    <w:link w:val="12"/>
    <w:autoRedefine/>
    <w:qFormat/>
    <w:uiPriority w:val="0"/>
    <w:rPr>
      <w:rFonts w:ascii="Times New Roman" w:hAnsi="Times New Roman"/>
      <w:kern w:val="2"/>
      <w:sz w:val="21"/>
      <w:szCs w:val="24"/>
    </w:rPr>
  </w:style>
  <w:style w:type="character" w:customStyle="1" w:styleId="49">
    <w:name w:val="正文文本 3 字符"/>
    <w:link w:val="13"/>
    <w:autoRedefine/>
    <w:qFormat/>
    <w:uiPriority w:val="0"/>
    <w:rPr>
      <w:rFonts w:ascii="宋体"/>
      <w:kern w:val="2"/>
      <w:sz w:val="24"/>
    </w:rPr>
  </w:style>
  <w:style w:type="character" w:customStyle="1" w:styleId="50">
    <w:name w:val="批注框文本 字符"/>
    <w:link w:val="21"/>
    <w:autoRedefine/>
    <w:qFormat/>
    <w:uiPriority w:val="0"/>
    <w:rPr>
      <w:rFonts w:ascii="Times New Roman" w:hAnsi="Times New Roman"/>
      <w:kern w:val="2"/>
      <w:sz w:val="18"/>
      <w:szCs w:val="18"/>
    </w:rPr>
  </w:style>
  <w:style w:type="character" w:customStyle="1" w:styleId="51">
    <w:name w:val="页脚 字符"/>
    <w:link w:val="22"/>
    <w:autoRedefine/>
    <w:qFormat/>
    <w:uiPriority w:val="99"/>
    <w:rPr>
      <w:rFonts w:ascii="Times New Roman" w:hAnsi="Times New Roman"/>
      <w:kern w:val="2"/>
      <w:sz w:val="18"/>
      <w:szCs w:val="18"/>
    </w:rPr>
  </w:style>
  <w:style w:type="character" w:customStyle="1" w:styleId="52">
    <w:name w:val="页眉 字符"/>
    <w:link w:val="23"/>
    <w:autoRedefine/>
    <w:qFormat/>
    <w:uiPriority w:val="0"/>
    <w:rPr>
      <w:rFonts w:ascii="Times New Roman" w:hAnsi="Times New Roman"/>
      <w:kern w:val="2"/>
      <w:sz w:val="18"/>
      <w:szCs w:val="18"/>
    </w:rPr>
  </w:style>
  <w:style w:type="character" w:customStyle="1" w:styleId="53">
    <w:name w:val="TOC 2 字符"/>
    <w:link w:val="27"/>
    <w:autoRedefine/>
    <w:qFormat/>
    <w:uiPriority w:val="39"/>
    <w:rPr>
      <w:smallCaps/>
      <w:sz w:val="20"/>
      <w:szCs w:val="20"/>
    </w:rPr>
  </w:style>
  <w:style w:type="character" w:customStyle="1" w:styleId="54">
    <w:name w:val="批注主题 字符"/>
    <w:link w:val="31"/>
    <w:autoRedefine/>
    <w:qFormat/>
    <w:uiPriority w:val="0"/>
    <w:rPr>
      <w:rFonts w:ascii="Times New Roman" w:hAnsi="Times New Roman"/>
      <w:b/>
      <w:bCs/>
      <w:kern w:val="2"/>
      <w:sz w:val="21"/>
      <w:szCs w:val="24"/>
    </w:rPr>
  </w:style>
  <w:style w:type="character" w:customStyle="1" w:styleId="55">
    <w:name w:val="font31"/>
    <w:autoRedefine/>
    <w:qFormat/>
    <w:uiPriority w:val="0"/>
    <w:rPr>
      <w:rFonts w:hint="eastAsia" w:ascii="宋体" w:hAnsi="宋体" w:eastAsia="宋体" w:cs="宋体"/>
      <w:b/>
      <w:color w:val="000000"/>
      <w:sz w:val="24"/>
      <w:szCs w:val="24"/>
      <w:u w:val="none"/>
    </w:rPr>
  </w:style>
  <w:style w:type="character" w:customStyle="1" w:styleId="56">
    <w:name w:val="font41"/>
    <w:autoRedefine/>
    <w:qFormat/>
    <w:uiPriority w:val="0"/>
    <w:rPr>
      <w:rFonts w:hint="eastAsia" w:ascii="宋体" w:hAnsi="宋体" w:eastAsia="宋体" w:cs="宋体"/>
      <w:color w:val="000000"/>
      <w:sz w:val="24"/>
      <w:szCs w:val="24"/>
      <w:u w:val="none"/>
    </w:rPr>
  </w:style>
  <w:style w:type="character" w:customStyle="1" w:styleId="57">
    <w:name w:val="font11"/>
    <w:autoRedefine/>
    <w:qFormat/>
    <w:uiPriority w:val="0"/>
    <w:rPr>
      <w:rFonts w:ascii="等线" w:hAnsi="等线" w:eastAsia="等线" w:cs="等线"/>
      <w:color w:val="000000"/>
      <w:sz w:val="24"/>
      <w:szCs w:val="24"/>
      <w:u w:val="none"/>
    </w:rPr>
  </w:style>
  <w:style w:type="character" w:customStyle="1" w:styleId="58">
    <w:name w:val="font21"/>
    <w:autoRedefine/>
    <w:qFormat/>
    <w:uiPriority w:val="0"/>
    <w:rPr>
      <w:rFonts w:hint="default" w:ascii="Times New Roman" w:hAnsi="Times New Roman" w:cs="Times New Roman"/>
      <w:color w:val="000000"/>
      <w:sz w:val="24"/>
      <w:szCs w:val="24"/>
      <w:u w:val="none"/>
    </w:rPr>
  </w:style>
  <w:style w:type="character" w:customStyle="1" w:styleId="59">
    <w:name w:val="font51"/>
    <w:autoRedefine/>
    <w:qFormat/>
    <w:uiPriority w:val="0"/>
    <w:rPr>
      <w:rFonts w:hint="eastAsia" w:ascii="宋体" w:hAnsi="宋体" w:eastAsia="宋体" w:cs="宋体"/>
      <w:b/>
      <w:color w:val="000000"/>
      <w:sz w:val="24"/>
      <w:szCs w:val="24"/>
      <w:u w:val="none"/>
    </w:rPr>
  </w:style>
  <w:style w:type="paragraph" w:customStyle="1" w:styleId="60">
    <w:name w:val="列表段落1"/>
    <w:basedOn w:val="1"/>
    <w:autoRedefine/>
    <w:qFormat/>
    <w:uiPriority w:val="99"/>
    <w:pPr>
      <w:widowControl w:val="0"/>
      <w:adjustRightInd w:val="0"/>
      <w:snapToGrid w:val="0"/>
      <w:spacing w:line="360" w:lineRule="auto"/>
      <w:ind w:firstLine="420" w:firstLineChars="200"/>
      <w:jc w:val="both"/>
    </w:pPr>
    <w:rPr>
      <w:rFonts w:ascii="Times New Roman" w:hAnsi="Times New Roman" w:cs="Times New Roman"/>
      <w:kern w:val="2"/>
      <w:sz w:val="21"/>
    </w:rPr>
  </w:style>
  <w:style w:type="paragraph" w:customStyle="1" w:styleId="61">
    <w:name w:val="列出段落1"/>
    <w:basedOn w:val="1"/>
    <w:autoRedefine/>
    <w:qFormat/>
    <w:uiPriority w:val="0"/>
    <w:pPr>
      <w:widowControl w:val="0"/>
      <w:ind w:firstLine="420" w:firstLineChars="200"/>
      <w:jc w:val="both"/>
    </w:pPr>
    <w:rPr>
      <w:rFonts w:ascii="等线" w:hAnsi="等线" w:eastAsia="等线" w:cs="Times New Roman"/>
      <w:kern w:val="2"/>
      <w:sz w:val="21"/>
      <w:szCs w:val="22"/>
    </w:rPr>
  </w:style>
  <w:style w:type="paragraph" w:customStyle="1" w:styleId="62">
    <w:name w:val="Char Char Char Char Char Char Char"/>
    <w:basedOn w:val="1"/>
    <w:autoRedefine/>
    <w:qFormat/>
    <w:locked/>
    <w:uiPriority w:val="0"/>
    <w:pPr>
      <w:widowControl w:val="0"/>
      <w:jc w:val="both"/>
    </w:pPr>
    <w:rPr>
      <w:rFonts w:ascii="Times New Roman" w:hAnsi="Times New Roman" w:cs="Times New Roman"/>
      <w:kern w:val="2"/>
      <w:sz w:val="21"/>
      <w:szCs w:val="20"/>
    </w:rPr>
  </w:style>
  <w:style w:type="paragraph" w:customStyle="1" w:styleId="63">
    <w:name w:val="正文缩进2格"/>
    <w:basedOn w:val="1"/>
    <w:autoRedefine/>
    <w:qFormat/>
    <w:uiPriority w:val="0"/>
    <w:pPr>
      <w:widowControl w:val="0"/>
      <w:adjustRightInd w:val="0"/>
      <w:snapToGrid w:val="0"/>
      <w:spacing w:line="600" w:lineRule="exact"/>
      <w:ind w:firstLine="639" w:firstLineChars="206"/>
      <w:jc w:val="both"/>
    </w:pPr>
    <w:rPr>
      <w:rFonts w:ascii="仿宋_GB2312" w:eastAsia="仿宋_GB2312" w:cs="Times New Roman"/>
      <w:sz w:val="28"/>
      <w:szCs w:val="28"/>
    </w:rPr>
  </w:style>
  <w:style w:type="paragraph" w:customStyle="1" w:styleId="64">
    <w:name w:val="p15"/>
    <w:basedOn w:val="1"/>
    <w:autoRedefine/>
    <w:qFormat/>
    <w:uiPriority w:val="0"/>
    <w:pPr>
      <w:adjustRightInd w:val="0"/>
      <w:snapToGrid w:val="0"/>
      <w:spacing w:before="100" w:beforeAutospacing="1" w:after="100" w:afterAutospacing="1" w:line="360" w:lineRule="auto"/>
      <w:ind w:firstLine="560" w:firstLineChars="200"/>
    </w:pPr>
  </w:style>
  <w:style w:type="paragraph" w:customStyle="1" w:styleId="65">
    <w:name w:val="修订1"/>
    <w:autoRedefine/>
    <w:hidden/>
    <w:semiHidden/>
    <w:qFormat/>
    <w:uiPriority w:val="99"/>
    <w:rPr>
      <w:rFonts w:ascii="Times New Roman" w:hAnsi="Times New Roman" w:eastAsia="宋体" w:cs="Times New Roman"/>
      <w:kern w:val="2"/>
      <w:sz w:val="21"/>
      <w:szCs w:val="24"/>
      <w:lang w:val="en-US" w:eastAsia="zh-CN" w:bidi="ar-SA"/>
    </w:rPr>
  </w:style>
  <w:style w:type="character" w:customStyle="1" w:styleId="66">
    <w:name w:val="未处理的提及1"/>
    <w:basedOn w:val="35"/>
    <w:autoRedefine/>
    <w:semiHidden/>
    <w:unhideWhenUsed/>
    <w:qFormat/>
    <w:uiPriority w:val="99"/>
    <w:rPr>
      <w:color w:val="605E5C"/>
      <w:shd w:val="clear" w:color="auto" w:fill="E1DFDD"/>
    </w:rPr>
  </w:style>
  <w:style w:type="paragraph" w:customStyle="1" w:styleId="67">
    <w:name w:val="正文1"/>
    <w:basedOn w:val="1"/>
    <w:autoRedefine/>
    <w:qFormat/>
    <w:uiPriority w:val="0"/>
    <w:pPr>
      <w:widowControl w:val="0"/>
      <w:spacing w:line="360" w:lineRule="auto"/>
      <w:ind w:firstLine="361"/>
      <w:jc w:val="both"/>
    </w:pPr>
    <w:rPr>
      <w:rFonts w:eastAsia="黑体" w:cs="Calibri"/>
      <w:color w:val="000000"/>
      <w:sz w:val="20"/>
    </w:rPr>
  </w:style>
  <w:style w:type="character" w:customStyle="1" w:styleId="68">
    <w:name w:val="纯文本 字符"/>
    <w:basedOn w:val="35"/>
    <w:link w:val="18"/>
    <w:autoRedefine/>
    <w:qFormat/>
    <w:uiPriority w:val="0"/>
    <w:rPr>
      <w:rFonts w:ascii="宋体" w:hAnsi="宋体" w:cs="Courier New"/>
      <w:color w:val="000000"/>
    </w:rPr>
  </w:style>
  <w:style w:type="character" w:customStyle="1" w:styleId="69">
    <w:name w:val="文档结构图 字符"/>
    <w:basedOn w:val="35"/>
    <w:link w:val="11"/>
    <w:autoRedefine/>
    <w:semiHidden/>
    <w:qFormat/>
    <w:uiPriority w:val="0"/>
    <w:rPr>
      <w:rFonts w:ascii="宋体"/>
      <w:kern w:val="2"/>
      <w:sz w:val="18"/>
      <w:szCs w:val="18"/>
    </w:rPr>
  </w:style>
  <w:style w:type="character" w:customStyle="1" w:styleId="70">
    <w:name w:val="正文文本 Char1"/>
    <w:autoRedefine/>
    <w:qFormat/>
    <w:uiPriority w:val="0"/>
    <w:rPr>
      <w:kern w:val="2"/>
      <w:sz w:val="21"/>
      <w:szCs w:val="22"/>
    </w:rPr>
  </w:style>
  <w:style w:type="character" w:customStyle="1" w:styleId="71">
    <w:name w:val="日期 字符"/>
    <w:basedOn w:val="35"/>
    <w:link w:val="20"/>
    <w:autoRedefine/>
    <w:qFormat/>
    <w:uiPriority w:val="0"/>
    <w:rPr>
      <w:kern w:val="2"/>
      <w:sz w:val="21"/>
      <w:szCs w:val="24"/>
    </w:rPr>
  </w:style>
  <w:style w:type="character" w:customStyle="1" w:styleId="72">
    <w:name w:val="标题 Char"/>
    <w:autoRedefine/>
    <w:qFormat/>
    <w:uiPriority w:val="0"/>
    <w:rPr>
      <w:rFonts w:ascii="Cambria" w:hAnsi="Cambria"/>
      <w:b/>
      <w:bCs/>
      <w:kern w:val="2"/>
      <w:sz w:val="32"/>
      <w:szCs w:val="32"/>
    </w:rPr>
  </w:style>
  <w:style w:type="character" w:customStyle="1" w:styleId="73">
    <w:name w:val="标题 字符"/>
    <w:basedOn w:val="35"/>
    <w:link w:val="30"/>
    <w:autoRedefine/>
    <w:qFormat/>
    <w:uiPriority w:val="0"/>
    <w:rPr>
      <w:rFonts w:asciiTheme="majorHAnsi" w:hAnsiTheme="majorHAnsi" w:cstheme="majorBidi"/>
      <w:b/>
      <w:bCs/>
      <w:kern w:val="2"/>
      <w:sz w:val="32"/>
      <w:szCs w:val="32"/>
    </w:rPr>
  </w:style>
  <w:style w:type="character" w:customStyle="1" w:styleId="74">
    <w:name w:val="标题 7 字符"/>
    <w:basedOn w:val="35"/>
    <w:link w:val="8"/>
    <w:autoRedefine/>
    <w:qFormat/>
    <w:uiPriority w:val="0"/>
    <w:rPr>
      <w:b/>
      <w:bCs/>
      <w:kern w:val="2"/>
      <w:sz w:val="24"/>
      <w:szCs w:val="24"/>
    </w:rPr>
  </w:style>
  <w:style w:type="character" w:customStyle="1" w:styleId="75">
    <w:name w:val="批注文字 Char1"/>
    <w:autoRedefine/>
    <w:qFormat/>
    <w:uiPriority w:val="99"/>
    <w:rPr>
      <w:rFonts w:ascii="Times New Roman" w:hAnsi="Times New Roman"/>
      <w:kern w:val="2"/>
      <w:sz w:val="21"/>
      <w:szCs w:val="24"/>
    </w:rPr>
  </w:style>
  <w:style w:type="character" w:customStyle="1" w:styleId="76">
    <w:name w:val="正文文本 字符"/>
    <w:basedOn w:val="35"/>
    <w:link w:val="14"/>
    <w:autoRedefine/>
    <w:qFormat/>
    <w:uiPriority w:val="0"/>
    <w:rPr>
      <w:kern w:val="2"/>
      <w:sz w:val="21"/>
      <w:szCs w:val="24"/>
    </w:rPr>
  </w:style>
  <w:style w:type="character" w:customStyle="1" w:styleId="77">
    <w:name w:val="正文文本首行缩进 字符"/>
    <w:basedOn w:val="76"/>
    <w:link w:val="32"/>
    <w:autoRedefine/>
    <w:semiHidden/>
    <w:qFormat/>
    <w:uiPriority w:val="99"/>
    <w:rPr>
      <w:kern w:val="2"/>
      <w:sz w:val="21"/>
      <w:szCs w:val="24"/>
    </w:rPr>
  </w:style>
  <w:style w:type="character" w:customStyle="1" w:styleId="78">
    <w:name w:val="font61"/>
    <w:basedOn w:val="35"/>
    <w:autoRedefine/>
    <w:qFormat/>
    <w:uiPriority w:val="0"/>
    <w:rPr>
      <w:rFonts w:hint="default" w:ascii="Times New Roman" w:hAnsi="Times New Roman" w:cs="Times New Roman"/>
      <w:color w:val="000000"/>
      <w:sz w:val="24"/>
      <w:szCs w:val="24"/>
      <w:u w:val="none"/>
    </w:rPr>
  </w:style>
  <w:style w:type="character" w:customStyle="1" w:styleId="79">
    <w:name w:val="font112"/>
    <w:basedOn w:val="35"/>
    <w:autoRedefine/>
    <w:qFormat/>
    <w:uiPriority w:val="0"/>
    <w:rPr>
      <w:rFonts w:hint="eastAsia" w:ascii="楷体" w:hAnsi="楷体" w:eastAsia="楷体" w:cs="楷体"/>
      <w:color w:val="000000"/>
      <w:sz w:val="24"/>
      <w:szCs w:val="24"/>
      <w:u w:val="none"/>
    </w:rPr>
  </w:style>
  <w:style w:type="character" w:customStyle="1" w:styleId="80">
    <w:name w:val="font91"/>
    <w:basedOn w:val="35"/>
    <w:autoRedefine/>
    <w:qFormat/>
    <w:uiPriority w:val="0"/>
    <w:rPr>
      <w:rFonts w:hint="eastAsia" w:ascii="宋体" w:hAnsi="宋体" w:eastAsia="宋体" w:cs="宋体"/>
      <w:color w:val="000000"/>
      <w:sz w:val="24"/>
      <w:szCs w:val="24"/>
      <w:u w:val="none"/>
    </w:rPr>
  </w:style>
  <w:style w:type="character" w:customStyle="1" w:styleId="81">
    <w:name w:val="font131"/>
    <w:basedOn w:val="35"/>
    <w:autoRedefine/>
    <w:qFormat/>
    <w:uiPriority w:val="0"/>
    <w:rPr>
      <w:rFonts w:hint="eastAsia" w:ascii="楷体" w:hAnsi="楷体" w:eastAsia="楷体" w:cs="楷体"/>
      <w:color w:val="000000"/>
      <w:sz w:val="24"/>
      <w:szCs w:val="24"/>
      <w:u w:val="none"/>
    </w:rPr>
  </w:style>
  <w:style w:type="paragraph" w:styleId="82">
    <w:name w:val="List Paragraph"/>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83">
    <w:name w:val="修订2"/>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84">
    <w:name w:val="正文_0_0"/>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85">
    <w:name w:val="标题 3 字符"/>
    <w:basedOn w:val="35"/>
    <w:link w:val="4"/>
    <w:autoRedefine/>
    <w:qFormat/>
    <w:uiPriority w:val="0"/>
    <w:rPr>
      <w:b/>
      <w:bCs/>
      <w:kern w:val="2"/>
      <w:sz w:val="24"/>
      <w:szCs w:val="24"/>
    </w:rPr>
  </w:style>
  <w:style w:type="character" w:customStyle="1" w:styleId="86">
    <w:name w:val="未处理的提及2"/>
    <w:basedOn w:val="35"/>
    <w:autoRedefine/>
    <w:semiHidden/>
    <w:unhideWhenUsed/>
    <w:qFormat/>
    <w:uiPriority w:val="99"/>
    <w:rPr>
      <w:color w:val="605E5C"/>
      <w:shd w:val="clear" w:color="auto" w:fill="E1DFDD"/>
    </w:rPr>
  </w:style>
  <w:style w:type="paragraph" w:customStyle="1" w:styleId="87">
    <w:name w:val="修订3"/>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88">
    <w:name w:val="修订4"/>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89">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正文_6"/>
    <w:qFormat/>
    <w:uiPriority w:val="0"/>
    <w:rPr>
      <w:rFonts w:ascii="宋体" w:hAnsi="宋体" w:eastAsia="宋体" w:cs="宋体"/>
      <w:sz w:val="24"/>
      <w:szCs w:val="24"/>
      <w:lang w:val="en-US" w:eastAsia="zh-CN" w:bidi="ar-SA"/>
    </w:rPr>
  </w:style>
  <w:style w:type="paragraph" w:customStyle="1" w:styleId="91">
    <w:name w:val="正文_1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2">
    <w:name w:val="修订5"/>
    <w:hidden/>
    <w:unhideWhenUsed/>
    <w:qFormat/>
    <w:uiPriority w:val="99"/>
    <w:rPr>
      <w:rFonts w:ascii="Times New Roman" w:hAnsi="Times New Roman" w:eastAsia="宋体" w:cs="Times New Roman"/>
      <w:kern w:val="2"/>
      <w:sz w:val="21"/>
      <w:szCs w:val="24"/>
      <w:lang w:val="en-US" w:eastAsia="zh-CN" w:bidi="ar-SA"/>
    </w:rPr>
  </w:style>
  <w:style w:type="table" w:customStyle="1" w:styleId="93">
    <w:name w:val="网格型1"/>
    <w:basedOn w:val="3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4">
    <w:name w:val="标题 31"/>
    <w:qFormat/>
    <w:uiPriority w:val="0"/>
    <w:pPr>
      <w:keepNext/>
      <w:keepLines/>
      <w:widowControl w:val="0"/>
      <w:spacing w:before="20" w:after="20" w:line="415" w:lineRule="auto"/>
      <w:ind w:firstLine="137" w:firstLineChars="49"/>
      <w:jc w:val="both"/>
      <w:outlineLvl w:val="2"/>
    </w:pPr>
    <w:rPr>
      <w:rFonts w:ascii="Times New Roman" w:hAnsi="黑体" w:eastAsia="黑体" w:cs="Times New Roman"/>
      <w:kern w:val="2"/>
      <w:sz w:val="24"/>
      <w:lang w:val="en-US" w:eastAsia="zh-CN" w:bidi="ar-SA"/>
    </w:rPr>
  </w:style>
  <w:style w:type="paragraph" w:customStyle="1" w:styleId="95">
    <w:name w:val="样式 标题 2 + 黑色 行距: 1.5 倍行距"/>
    <w:qFormat/>
    <w:uiPriority w:val="99"/>
    <w:pPr>
      <w:keepNext/>
      <w:keepLines/>
      <w:widowControl w:val="0"/>
      <w:spacing w:before="260" w:after="260" w:line="360" w:lineRule="auto"/>
      <w:jc w:val="both"/>
      <w:outlineLvl w:val="1"/>
    </w:pPr>
    <w:rPr>
      <w:rFonts w:ascii="Arial" w:hAnsi="Arial" w:eastAsia="宋体" w:cs="宋体"/>
      <w:bCs/>
      <w:color w:val="000000"/>
      <w:kern w:val="2"/>
      <w:sz w:val="32"/>
      <w:lang w:val="en-US" w:eastAsia="zh-CN" w:bidi="ar-SA"/>
    </w:rPr>
  </w:style>
  <w:style w:type="paragraph" w:customStyle="1" w:styleId="96">
    <w:name w:val="标题 21"/>
    <w:qFormat/>
    <w:uiPriority w:val="0"/>
    <w:pPr>
      <w:keepNext/>
      <w:keepLines/>
      <w:widowControl w:val="0"/>
      <w:spacing w:before="260" w:after="260" w:line="415" w:lineRule="auto"/>
      <w:jc w:val="both"/>
      <w:outlineLvl w:val="1"/>
    </w:pPr>
    <w:rPr>
      <w:rFonts w:ascii="Arial" w:hAnsi="Arial" w:eastAsia="黑体" w:cs="Times New Roman"/>
      <w:b/>
      <w:bCs/>
      <w:kern w:val="2"/>
      <w:sz w:val="32"/>
      <w:szCs w:val="32"/>
      <w:lang w:val="en-US" w:eastAsia="zh-CN" w:bidi="ar-SA"/>
    </w:rPr>
  </w:style>
  <w:style w:type="paragraph" w:customStyle="1" w:styleId="97">
    <w:name w:val="首行缩进"/>
    <w:qFormat/>
    <w:uiPriority w:val="0"/>
    <w:pPr>
      <w:widowControl w:val="0"/>
      <w:ind w:firstLine="480" w:firstLineChars="200"/>
      <w:jc w:val="both"/>
    </w:pPr>
    <w:rPr>
      <w:rFonts w:ascii="Times New Roman" w:hAnsi="Times New Roman" w:eastAsia="宋体" w:cs="Times New Roman"/>
      <w:kern w:val="2"/>
      <w:sz w:val="21"/>
      <w:lang w:val="zh-CN" w:eastAsia="zh-CN" w:bidi="ar-SA"/>
    </w:rPr>
  </w:style>
  <w:style w:type="paragraph" w:customStyle="1" w:styleId="98">
    <w:name w:val="正文首行缩进 211"/>
    <w:basedOn w:val="99"/>
    <w:next w:val="101"/>
    <w:qFormat/>
    <w:uiPriority w:val="0"/>
    <w:pPr>
      <w:ind w:firstLine="420"/>
    </w:pPr>
  </w:style>
  <w:style w:type="paragraph" w:customStyle="1" w:styleId="99">
    <w:name w:val="正文文本缩进11"/>
    <w:basedOn w:val="1"/>
    <w:next w:val="100"/>
    <w:qFormat/>
    <w:uiPriority w:val="0"/>
    <w:pPr>
      <w:widowControl w:val="0"/>
      <w:adjustRightInd w:val="0"/>
      <w:snapToGrid w:val="0"/>
      <w:spacing w:after="120" w:line="360" w:lineRule="auto"/>
      <w:ind w:left="420" w:firstLine="560" w:firstLineChars="200"/>
      <w:jc w:val="both"/>
    </w:pPr>
    <w:rPr>
      <w:rFonts w:ascii="Times New Roman" w:hAnsi="Times New Roman" w:cs="Times New Roman"/>
      <w:kern w:val="2"/>
      <w:sz w:val="21"/>
    </w:rPr>
  </w:style>
  <w:style w:type="paragraph" w:customStyle="1" w:styleId="100">
    <w:name w:val="寄信人地址11"/>
    <w:basedOn w:val="1"/>
    <w:qFormat/>
    <w:uiPriority w:val="0"/>
    <w:pPr>
      <w:widowControl w:val="0"/>
      <w:adjustRightInd w:val="0"/>
      <w:snapToGrid w:val="0"/>
      <w:spacing w:line="360" w:lineRule="auto"/>
      <w:ind w:firstLine="560" w:firstLineChars="200"/>
      <w:jc w:val="both"/>
    </w:pPr>
    <w:rPr>
      <w:rFonts w:ascii="Arial" w:hAnsi="Arial" w:cs="Arial"/>
      <w:kern w:val="2"/>
      <w:sz w:val="21"/>
    </w:rPr>
  </w:style>
  <w:style w:type="paragraph" w:customStyle="1" w:styleId="101">
    <w:name w:val="样式 标题 3 + (中文) 黑体 小四 非加粗 段前: 7.8 磅 段后: 0 磅 行距: 固定值 20 磅_0"/>
    <w:basedOn w:val="1"/>
    <w:qFormat/>
    <w:uiPriority w:val="0"/>
    <w:pPr>
      <w:keepNext/>
      <w:keepLines/>
      <w:widowControl w:val="0"/>
      <w:adjustRightInd w:val="0"/>
      <w:snapToGrid w:val="0"/>
      <w:spacing w:line="400" w:lineRule="exact"/>
      <w:ind w:firstLine="560" w:firstLineChars="200"/>
      <w:jc w:val="both"/>
      <w:outlineLvl w:val="2"/>
    </w:pPr>
    <w:rPr>
      <w:rFonts w:ascii="Times New Roman" w:hAnsi="Times New Roman" w:eastAsia="黑体"/>
      <w:kern w:val="2"/>
      <w:sz w:val="21"/>
      <w:szCs w:val="21"/>
    </w:rPr>
  </w:style>
  <w:style w:type="paragraph" w:customStyle="1" w:styleId="102">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rgbClr val="FFFFFF"/>
        </a:solidFill>
        <a:ln w="19050">
          <a:solidFill>
            <a:prstClr val="black"/>
          </a:solidFill>
        </a:ln>
      </a:spPr>
      <a:bodyPr rot="0" spcFirstLastPara="0" vertOverflow="overflow" horzOverflow="overflow" vert="horz" wrap="square" lIns="91440" tIns="45720" rIns="91440" bIns="45720" numCol="1" spcCol="0" rtlCol="0" fromWordArt="0" anchor="t" anchorCtr="0" forceAA="0" compatLnSpc="1">
        <a:no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BD8EE-F8C9-44E2-B814-60815BB194C6}">
  <ds:schemaRefs/>
</ds:datastoreItem>
</file>

<file path=docProps/app.xml><?xml version="1.0" encoding="utf-8"?>
<Properties xmlns="http://schemas.openxmlformats.org/officeDocument/2006/extended-properties" xmlns:vt="http://schemas.openxmlformats.org/officeDocument/2006/docPropsVTypes">
  <Template>Normal.dotm</Template>
  <Company>1</Company>
  <Pages>32</Pages>
  <Words>60</Words>
  <Characters>64</Characters>
  <Lines>110</Lines>
  <Paragraphs>31</Paragraphs>
  <TotalTime>4</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2024-01-11T05:35:00Z</dcterms:created>
  <dc:creator>stabl</dc:creator>
  <cp:lastModifiedBy>招一万个人</cp:lastModifiedBy>
  <cp:lastPrinted>2024-03-07T07:34:00Z</cp:lastPrinted>
  <dcterms:modified xsi:type="dcterms:W3CDTF">2026-10-23T07:46:51Z</dcterms:modified>
  <dc:title>中和教育数据资产服务招标</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D89A8698986E45FD8D46715FE3B58F86_13</vt:lpwstr>
  </property>
  <property fmtid="{D5CDD505-2E9C-101B-9397-08002B2CF9AE}" pid="4" name="KSOTemplateDocerSaveRecord">
    <vt:lpwstr>eyJoZGlkIjoiNGJiNTE2Yjk3NGViYmMzZDAxOThkNjI5ZDIxMGMyZmYiLCJ1c2VySWQiOiI3MzAzNzk3MTIifQ==</vt:lpwstr>
  </property>
</Properties>
</file>